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9669" w14:textId="6C01ABBA" w:rsidR="0094150E" w:rsidRPr="00694AE8" w:rsidRDefault="0094150E" w:rsidP="0094150E">
      <w:pPr>
        <w:jc w:val="center"/>
        <w:rPr>
          <w:rFonts w:ascii="Arial" w:hAnsi="Arial" w:cs="Arial"/>
          <w:b/>
          <w:bCs/>
        </w:rPr>
      </w:pPr>
      <w:r w:rsidRPr="00694AE8">
        <w:rPr>
          <w:rFonts w:ascii="Arial" w:hAnsi="Arial" w:cs="Arial"/>
          <w:b/>
          <w:bCs/>
        </w:rPr>
        <w:t>[ADVISORY]</w:t>
      </w:r>
      <w:r w:rsidR="00694AE8" w:rsidRPr="00694AE8">
        <w:rPr>
          <w:rFonts w:ascii="Arial" w:hAnsi="Arial" w:cs="Arial"/>
          <w:b/>
          <w:bCs/>
        </w:rPr>
        <w:t xml:space="preserve"> [BULLETIN]</w:t>
      </w:r>
      <w:r w:rsidRPr="00694AE8">
        <w:rPr>
          <w:rFonts w:ascii="Arial" w:hAnsi="Arial" w:cs="Arial"/>
          <w:b/>
          <w:bCs/>
        </w:rPr>
        <w:t xml:space="preserve"> TO</w:t>
      </w:r>
    </w:p>
    <w:p w14:paraId="29F7CF84" w14:textId="77777777" w:rsidR="007F39DF" w:rsidRDefault="0094150E" w:rsidP="0094150E">
      <w:pPr>
        <w:jc w:val="center"/>
        <w:rPr>
          <w:rFonts w:ascii="Arial" w:hAnsi="Arial" w:cs="Arial"/>
          <w:b/>
          <w:bCs/>
        </w:rPr>
      </w:pPr>
      <w:r w:rsidRPr="00694AE8">
        <w:rPr>
          <w:rFonts w:ascii="Arial" w:hAnsi="Arial" w:cs="Arial"/>
          <w:b/>
          <w:bCs/>
        </w:rPr>
        <w:t>HEALTH CARE PRO</w:t>
      </w:r>
      <w:r w:rsidR="007F39DF">
        <w:rPr>
          <w:rFonts w:ascii="Arial" w:hAnsi="Arial" w:cs="Arial"/>
          <w:b/>
          <w:bCs/>
        </w:rPr>
        <w:t>VIDERS AND</w:t>
      </w:r>
      <w:r w:rsidRPr="00694AE8">
        <w:rPr>
          <w:rFonts w:ascii="Arial" w:hAnsi="Arial" w:cs="Arial"/>
          <w:b/>
          <w:bCs/>
        </w:rPr>
        <w:t xml:space="preserve"> FACILITIES</w:t>
      </w:r>
    </w:p>
    <w:p w14:paraId="39FDC783" w14:textId="22E0C68F" w:rsidR="0094150E" w:rsidRPr="00694AE8" w:rsidRDefault="0094150E" w:rsidP="0094150E">
      <w:pPr>
        <w:jc w:val="center"/>
        <w:rPr>
          <w:rFonts w:ascii="Arial" w:hAnsi="Arial" w:cs="Arial"/>
          <w:b/>
          <w:bCs/>
        </w:rPr>
      </w:pPr>
      <w:r w:rsidRPr="00694AE8">
        <w:rPr>
          <w:rFonts w:ascii="Arial" w:hAnsi="Arial" w:cs="Arial"/>
          <w:b/>
          <w:bCs/>
        </w:rPr>
        <w:t>ON REQUIREMENTS UNDER THE FEDERAL NO SURPRISES ACT</w:t>
      </w:r>
    </w:p>
    <w:p w14:paraId="57DBD14B" w14:textId="77777777" w:rsidR="0094150E" w:rsidRPr="00694AE8" w:rsidRDefault="0094150E" w:rsidP="0094150E">
      <w:pPr>
        <w:jc w:val="center"/>
        <w:rPr>
          <w:rFonts w:ascii="Arial" w:hAnsi="Arial" w:cs="Arial"/>
        </w:rPr>
      </w:pPr>
    </w:p>
    <w:p w14:paraId="26F908E2" w14:textId="08851E11" w:rsidR="0094150E" w:rsidRPr="00694AE8" w:rsidRDefault="0094150E" w:rsidP="0094150E">
      <w:pPr>
        <w:ind w:left="1440" w:hanging="1440"/>
        <w:rPr>
          <w:rFonts w:ascii="Arial" w:hAnsi="Arial" w:cs="Arial"/>
        </w:rPr>
      </w:pPr>
      <w:r w:rsidRPr="000A2FEE">
        <w:rPr>
          <w:rFonts w:ascii="Arial" w:hAnsi="Arial" w:cs="Arial"/>
          <w:b/>
          <w:bCs/>
        </w:rPr>
        <w:t>To:</w:t>
      </w:r>
      <w:r w:rsidRPr="00694AE8">
        <w:rPr>
          <w:rFonts w:ascii="Arial" w:hAnsi="Arial" w:cs="Arial"/>
        </w:rPr>
        <w:t xml:space="preserve"> </w:t>
      </w:r>
      <w:r w:rsidRPr="00694AE8">
        <w:rPr>
          <w:rFonts w:ascii="Arial" w:hAnsi="Arial" w:cs="Arial"/>
        </w:rPr>
        <w:tab/>
        <w:t>Health Care Pr</w:t>
      </w:r>
      <w:r w:rsidR="0012450C">
        <w:rPr>
          <w:rFonts w:ascii="Arial" w:hAnsi="Arial" w:cs="Arial"/>
        </w:rPr>
        <w:t xml:space="preserve">oviders </w:t>
      </w:r>
      <w:r w:rsidR="007F39DF">
        <w:rPr>
          <w:rFonts w:ascii="Arial" w:hAnsi="Arial" w:cs="Arial"/>
        </w:rPr>
        <w:t xml:space="preserve">and </w:t>
      </w:r>
      <w:r w:rsidRPr="00694AE8">
        <w:rPr>
          <w:rFonts w:ascii="Arial" w:hAnsi="Arial" w:cs="Arial"/>
        </w:rPr>
        <w:t>Facilities</w:t>
      </w:r>
    </w:p>
    <w:p w14:paraId="3AD68963" w14:textId="77777777" w:rsidR="0094150E" w:rsidRPr="00694AE8" w:rsidRDefault="0094150E" w:rsidP="0094150E">
      <w:pPr>
        <w:rPr>
          <w:rFonts w:ascii="Arial" w:hAnsi="Arial" w:cs="Arial"/>
        </w:rPr>
      </w:pPr>
    </w:p>
    <w:p w14:paraId="53617926" w14:textId="77777777" w:rsidR="0094150E" w:rsidRPr="00694AE8" w:rsidRDefault="0094150E" w:rsidP="0094150E">
      <w:pPr>
        <w:rPr>
          <w:rFonts w:ascii="Arial" w:hAnsi="Arial" w:cs="Arial"/>
        </w:rPr>
      </w:pPr>
      <w:r w:rsidRPr="000A2FEE">
        <w:rPr>
          <w:rFonts w:ascii="Arial" w:hAnsi="Arial" w:cs="Arial"/>
          <w:b/>
          <w:bCs/>
        </w:rPr>
        <w:t>From:</w:t>
      </w:r>
      <w:r w:rsidRPr="000A2FEE">
        <w:rPr>
          <w:rFonts w:ascii="Arial" w:hAnsi="Arial" w:cs="Arial"/>
          <w:b/>
          <w:bCs/>
        </w:rPr>
        <w:tab/>
      </w:r>
      <w:r w:rsidRPr="00694AE8">
        <w:rPr>
          <w:rFonts w:ascii="Arial" w:hAnsi="Arial" w:cs="Arial"/>
        </w:rPr>
        <w:tab/>
        <w:t xml:space="preserve">[State] Insurance Commissioner </w:t>
      </w:r>
    </w:p>
    <w:p w14:paraId="5D718D01" w14:textId="77777777" w:rsidR="0094150E" w:rsidRPr="00694AE8" w:rsidRDefault="0094150E" w:rsidP="0094150E">
      <w:pPr>
        <w:rPr>
          <w:rFonts w:ascii="Arial" w:hAnsi="Arial" w:cs="Arial"/>
        </w:rPr>
      </w:pPr>
    </w:p>
    <w:p w14:paraId="683B5646" w14:textId="433F3DCC" w:rsidR="0094150E" w:rsidRPr="00694AE8" w:rsidRDefault="0094150E" w:rsidP="0094150E">
      <w:pPr>
        <w:rPr>
          <w:rFonts w:ascii="Arial" w:hAnsi="Arial" w:cs="Arial"/>
        </w:rPr>
      </w:pPr>
      <w:r w:rsidRPr="000A2FEE">
        <w:rPr>
          <w:rFonts w:ascii="Arial" w:hAnsi="Arial" w:cs="Arial"/>
          <w:b/>
          <w:bCs/>
        </w:rPr>
        <w:t>Date:</w:t>
      </w:r>
      <w:r w:rsidRPr="00694AE8">
        <w:rPr>
          <w:rFonts w:ascii="Arial" w:hAnsi="Arial" w:cs="Arial"/>
        </w:rPr>
        <w:t xml:space="preserve"> </w:t>
      </w:r>
      <w:r w:rsidRPr="00694AE8">
        <w:rPr>
          <w:rFonts w:ascii="Arial" w:hAnsi="Arial" w:cs="Arial"/>
        </w:rPr>
        <w:tab/>
      </w:r>
      <w:r w:rsidRPr="00694AE8">
        <w:rPr>
          <w:rFonts w:ascii="Arial" w:hAnsi="Arial" w:cs="Arial"/>
        </w:rPr>
        <w:tab/>
        <w:t>[December 2021]</w:t>
      </w:r>
    </w:p>
    <w:p w14:paraId="47699F62" w14:textId="77777777" w:rsidR="0094150E" w:rsidRPr="00694AE8" w:rsidRDefault="0094150E" w:rsidP="0094150E">
      <w:pPr>
        <w:rPr>
          <w:rFonts w:ascii="Arial" w:hAnsi="Arial" w:cs="Arial"/>
        </w:rPr>
      </w:pPr>
    </w:p>
    <w:p w14:paraId="3A145848" w14:textId="498F0BDA" w:rsidR="0094150E" w:rsidRDefault="000A2FEE" w:rsidP="00160B06">
      <w:pPr>
        <w:ind w:left="1440" w:hanging="1440"/>
        <w:rPr>
          <w:rFonts w:ascii="Arial" w:hAnsi="Arial" w:cs="Arial"/>
        </w:rPr>
      </w:pPr>
      <w:r w:rsidRPr="000A2FEE">
        <w:rPr>
          <w:rFonts w:ascii="Arial" w:hAnsi="Arial" w:cs="Arial"/>
          <w:b/>
          <w:bCs/>
        </w:rPr>
        <w:t>Subject:</w:t>
      </w:r>
      <w:r w:rsidR="0094150E" w:rsidRPr="00694AE8">
        <w:rPr>
          <w:rFonts w:ascii="Arial" w:hAnsi="Arial" w:cs="Arial"/>
        </w:rPr>
        <w:tab/>
      </w:r>
      <w:r w:rsidR="00705849">
        <w:rPr>
          <w:rFonts w:ascii="Arial" w:hAnsi="Arial" w:cs="Arial"/>
        </w:rPr>
        <w:t xml:space="preserve">Federal No Surprises Act (NSA) </w:t>
      </w:r>
      <w:r w:rsidR="007D31DD">
        <w:rPr>
          <w:rFonts w:ascii="Arial" w:hAnsi="Arial" w:cs="Arial"/>
        </w:rPr>
        <w:t xml:space="preserve">Health Care </w:t>
      </w:r>
      <w:r w:rsidR="00244BF9">
        <w:rPr>
          <w:rFonts w:ascii="Arial" w:hAnsi="Arial" w:cs="Arial"/>
        </w:rPr>
        <w:t>Provider</w:t>
      </w:r>
      <w:r w:rsidR="006A2D17">
        <w:rPr>
          <w:rFonts w:ascii="Arial" w:hAnsi="Arial" w:cs="Arial"/>
        </w:rPr>
        <w:t>,</w:t>
      </w:r>
      <w:r w:rsidR="007D31DD">
        <w:rPr>
          <w:rFonts w:ascii="Arial" w:hAnsi="Arial" w:cs="Arial"/>
        </w:rPr>
        <w:t xml:space="preserve"> Health Care </w:t>
      </w:r>
      <w:r w:rsidR="00705849">
        <w:rPr>
          <w:rFonts w:ascii="Arial" w:hAnsi="Arial" w:cs="Arial"/>
        </w:rPr>
        <w:t xml:space="preserve">Facility </w:t>
      </w:r>
      <w:r w:rsidR="006A2D17">
        <w:rPr>
          <w:rFonts w:ascii="Arial" w:hAnsi="Arial" w:cs="Arial"/>
        </w:rPr>
        <w:t xml:space="preserve">and Provider of Air Ambulance Services </w:t>
      </w:r>
      <w:r w:rsidR="00705849">
        <w:rPr>
          <w:rFonts w:ascii="Arial" w:hAnsi="Arial" w:cs="Arial"/>
        </w:rPr>
        <w:t>Requirements</w:t>
      </w:r>
    </w:p>
    <w:p w14:paraId="4A6D80AE" w14:textId="77777777" w:rsidR="00160B06" w:rsidRDefault="00160B06" w:rsidP="00160B06">
      <w:pPr>
        <w:ind w:left="1440" w:hanging="1440"/>
        <w:rPr>
          <w:rFonts w:ascii="Arial" w:hAnsi="Arial" w:cs="Arial"/>
        </w:rPr>
      </w:pPr>
    </w:p>
    <w:p w14:paraId="094D0135" w14:textId="0FC67B59" w:rsidR="00160B06" w:rsidRDefault="00160B06" w:rsidP="00B56541">
      <w:pPr>
        <w:rPr>
          <w:rFonts w:ascii="Arial" w:hAnsi="Arial" w:cs="Arial"/>
        </w:rPr>
      </w:pPr>
      <w:r>
        <w:rPr>
          <w:rFonts w:ascii="Arial" w:hAnsi="Arial" w:cs="Arial"/>
        </w:rPr>
        <w:t xml:space="preserve">The purpose of this [Advisory] [Bulletin] is to </w:t>
      </w:r>
      <w:r w:rsidR="00B56541">
        <w:rPr>
          <w:rFonts w:ascii="Arial" w:hAnsi="Arial" w:cs="Arial"/>
        </w:rPr>
        <w:t xml:space="preserve">provide information on requirements in </w:t>
      </w:r>
      <w:r w:rsidR="00503497">
        <w:rPr>
          <w:rFonts w:ascii="Arial" w:hAnsi="Arial" w:cs="Arial"/>
        </w:rPr>
        <w:t xml:space="preserve">the </w:t>
      </w:r>
      <w:r w:rsidR="00B56541">
        <w:rPr>
          <w:rFonts w:ascii="Arial" w:hAnsi="Arial" w:cs="Arial"/>
        </w:rPr>
        <w:t>federal No Surprises Act (NSA) that apply to health care providers and facilities</w:t>
      </w:r>
      <w:r w:rsidR="00B861F3">
        <w:rPr>
          <w:rFonts w:ascii="Arial" w:hAnsi="Arial" w:cs="Arial"/>
        </w:rPr>
        <w:t xml:space="preserve"> and providers of air ambulance services</w:t>
      </w:r>
      <w:r w:rsidR="00B56541">
        <w:rPr>
          <w:rFonts w:ascii="Arial" w:hAnsi="Arial" w:cs="Arial"/>
        </w:rPr>
        <w:t xml:space="preserve"> </w:t>
      </w:r>
      <w:r w:rsidR="009C7C93">
        <w:rPr>
          <w:rFonts w:ascii="Arial" w:hAnsi="Arial" w:cs="Arial"/>
        </w:rPr>
        <w:t>for</w:t>
      </w:r>
      <w:r w:rsidR="00A322AC">
        <w:rPr>
          <w:rFonts w:ascii="Arial" w:hAnsi="Arial" w:cs="Arial"/>
        </w:rPr>
        <w:t xml:space="preserve"> plans </w:t>
      </w:r>
      <w:r w:rsidR="00B56541">
        <w:rPr>
          <w:rFonts w:ascii="Arial" w:hAnsi="Arial" w:cs="Arial"/>
        </w:rPr>
        <w:t xml:space="preserve">starting </w:t>
      </w:r>
      <w:r w:rsidR="00A322AC">
        <w:rPr>
          <w:rFonts w:ascii="Arial" w:hAnsi="Arial" w:cs="Arial"/>
        </w:rPr>
        <w:t>in</w:t>
      </w:r>
      <w:r w:rsidR="00B56541">
        <w:rPr>
          <w:rFonts w:ascii="Arial" w:hAnsi="Arial" w:cs="Arial"/>
        </w:rPr>
        <w:t xml:space="preserve"> 2022.</w:t>
      </w:r>
    </w:p>
    <w:p w14:paraId="6E3388B4" w14:textId="77777777" w:rsidR="009C7C93" w:rsidRDefault="009C7C93" w:rsidP="2493D6B0">
      <w:pPr>
        <w:rPr>
          <w:rFonts w:ascii="Arial" w:hAnsi="Arial" w:cs="Arial"/>
        </w:rPr>
      </w:pPr>
    </w:p>
    <w:p w14:paraId="65BAD10E" w14:textId="66733E8D" w:rsidR="00160B06" w:rsidRDefault="003E6AD0" w:rsidP="2493D6B0">
      <w:pPr>
        <w:rPr>
          <w:rFonts w:ascii="Arial" w:hAnsi="Arial" w:cs="Arial"/>
        </w:rPr>
      </w:pPr>
      <w:r w:rsidRPr="2493D6B0">
        <w:rPr>
          <w:rFonts w:ascii="Arial" w:hAnsi="Arial" w:cs="Arial"/>
        </w:rPr>
        <w:t>[State Insurance Comm</w:t>
      </w:r>
      <w:r w:rsidR="00136DDD" w:rsidRPr="2493D6B0">
        <w:rPr>
          <w:rFonts w:ascii="Arial" w:hAnsi="Arial" w:cs="Arial"/>
        </w:rPr>
        <w:t xml:space="preserve">issioner] provides this information to educate stakeholders about new </w:t>
      </w:r>
      <w:r w:rsidR="00344654" w:rsidRPr="2493D6B0">
        <w:rPr>
          <w:rFonts w:ascii="Arial" w:hAnsi="Arial" w:cs="Arial"/>
        </w:rPr>
        <w:t>protections applicable to</w:t>
      </w:r>
      <w:r w:rsidR="00007AF1" w:rsidRPr="2493D6B0">
        <w:rPr>
          <w:rFonts w:ascii="Arial" w:hAnsi="Arial" w:cs="Arial"/>
        </w:rPr>
        <w:t xml:space="preserve"> </w:t>
      </w:r>
      <w:r w:rsidR="00984B85" w:rsidRPr="2493D6B0">
        <w:rPr>
          <w:rFonts w:ascii="Arial" w:hAnsi="Arial" w:cs="Arial"/>
        </w:rPr>
        <w:t xml:space="preserve">health insurance </w:t>
      </w:r>
      <w:r w:rsidR="00007AF1" w:rsidRPr="2493D6B0">
        <w:rPr>
          <w:rFonts w:ascii="Arial" w:hAnsi="Arial" w:cs="Arial"/>
        </w:rPr>
        <w:t xml:space="preserve">enrollees in </w:t>
      </w:r>
      <w:r w:rsidR="00984B85" w:rsidRPr="2493D6B0">
        <w:rPr>
          <w:rFonts w:ascii="Arial" w:hAnsi="Arial" w:cs="Arial"/>
        </w:rPr>
        <w:t xml:space="preserve">[State.] </w:t>
      </w:r>
      <w:r w:rsidR="00037000" w:rsidRPr="2493D6B0">
        <w:rPr>
          <w:rFonts w:ascii="Arial" w:hAnsi="Arial" w:cs="Arial"/>
        </w:rPr>
        <w:t>Depending on cir</w:t>
      </w:r>
      <w:r w:rsidR="00A55FC6" w:rsidRPr="2493D6B0">
        <w:rPr>
          <w:rFonts w:ascii="Arial" w:hAnsi="Arial" w:cs="Arial"/>
        </w:rPr>
        <w:t xml:space="preserve">cumstances, enforcement of these federal law provisions and similar state laws may come from one of several </w:t>
      </w:r>
      <w:r w:rsidR="00DE617E" w:rsidRPr="2493D6B0">
        <w:rPr>
          <w:rFonts w:ascii="Arial" w:hAnsi="Arial" w:cs="Arial"/>
        </w:rPr>
        <w:t>federal and state regulatory entities</w:t>
      </w:r>
      <w:r w:rsidR="006F7222" w:rsidRPr="2493D6B0">
        <w:rPr>
          <w:rFonts w:ascii="Arial" w:hAnsi="Arial" w:cs="Arial"/>
        </w:rPr>
        <w:t>, including but not l</w:t>
      </w:r>
      <w:r w:rsidR="00FB2201" w:rsidRPr="2493D6B0">
        <w:rPr>
          <w:rFonts w:ascii="Arial" w:hAnsi="Arial" w:cs="Arial"/>
        </w:rPr>
        <w:t>imited to the [State Insurance Department</w:t>
      </w:r>
      <w:r w:rsidR="00D65150">
        <w:rPr>
          <w:rFonts w:ascii="Arial" w:hAnsi="Arial" w:cs="Arial"/>
        </w:rPr>
        <w:t>]</w:t>
      </w:r>
      <w:r w:rsidR="00FB2201" w:rsidRPr="2493D6B0">
        <w:rPr>
          <w:rFonts w:ascii="Arial" w:hAnsi="Arial" w:cs="Arial"/>
        </w:rPr>
        <w:t>.</w:t>
      </w:r>
      <w:r w:rsidR="00D65150">
        <w:rPr>
          <w:rFonts w:ascii="Arial" w:hAnsi="Arial" w:cs="Arial"/>
        </w:rPr>
        <w:t xml:space="preserve"> </w:t>
      </w:r>
      <w:r w:rsidR="00671546">
        <w:rPr>
          <w:rFonts w:ascii="Arial" w:hAnsi="Arial" w:cs="Arial"/>
        </w:rPr>
        <w:t xml:space="preserve">Under this framework, </w:t>
      </w:r>
      <w:r w:rsidR="00F7311F">
        <w:rPr>
          <w:rFonts w:ascii="Arial" w:hAnsi="Arial" w:cs="Arial"/>
        </w:rPr>
        <w:t xml:space="preserve">[State Insurance </w:t>
      </w:r>
      <w:r w:rsidR="002360AF">
        <w:rPr>
          <w:rFonts w:ascii="Arial" w:hAnsi="Arial" w:cs="Arial"/>
        </w:rPr>
        <w:t>Department</w:t>
      </w:r>
      <w:r w:rsidR="00F7311F">
        <w:rPr>
          <w:rFonts w:ascii="Arial" w:hAnsi="Arial" w:cs="Arial"/>
        </w:rPr>
        <w:t>]</w:t>
      </w:r>
      <w:r w:rsidR="00A55FC6" w:rsidRPr="2493D6B0">
        <w:rPr>
          <w:rFonts w:ascii="Arial" w:hAnsi="Arial" w:cs="Arial"/>
        </w:rPr>
        <w:t xml:space="preserve"> </w:t>
      </w:r>
      <w:r w:rsidR="00671546">
        <w:rPr>
          <w:rFonts w:ascii="Arial" w:hAnsi="Arial" w:cs="Arial"/>
        </w:rPr>
        <w:t xml:space="preserve">intends to continue its </w:t>
      </w:r>
      <w:r w:rsidR="00487083">
        <w:rPr>
          <w:rFonts w:ascii="Arial" w:hAnsi="Arial" w:cs="Arial"/>
        </w:rPr>
        <w:t xml:space="preserve">responsibilities </w:t>
      </w:r>
      <w:r w:rsidR="0044285D">
        <w:rPr>
          <w:rFonts w:ascii="Arial" w:hAnsi="Arial" w:cs="Arial"/>
        </w:rPr>
        <w:t xml:space="preserve">and commitment </w:t>
      </w:r>
      <w:r w:rsidR="00A455A2">
        <w:rPr>
          <w:rFonts w:ascii="Arial" w:hAnsi="Arial" w:cs="Arial"/>
        </w:rPr>
        <w:t>to p</w:t>
      </w:r>
      <w:r w:rsidR="00EE4426">
        <w:rPr>
          <w:rFonts w:ascii="Arial" w:hAnsi="Arial" w:cs="Arial"/>
        </w:rPr>
        <w:t>ro</w:t>
      </w:r>
      <w:r w:rsidR="008051DF">
        <w:rPr>
          <w:rFonts w:ascii="Arial" w:hAnsi="Arial" w:cs="Arial"/>
        </w:rPr>
        <w:t>tect consumers</w:t>
      </w:r>
      <w:r w:rsidR="00EE51C9">
        <w:rPr>
          <w:rFonts w:ascii="Arial" w:hAnsi="Arial" w:cs="Arial"/>
        </w:rPr>
        <w:t>, including</w:t>
      </w:r>
      <w:r w:rsidR="006072F9">
        <w:rPr>
          <w:rFonts w:ascii="Arial" w:hAnsi="Arial" w:cs="Arial"/>
        </w:rPr>
        <w:t xml:space="preserve"> receiv</w:t>
      </w:r>
      <w:r w:rsidR="00EE51C9">
        <w:rPr>
          <w:rFonts w:ascii="Arial" w:hAnsi="Arial" w:cs="Arial"/>
        </w:rPr>
        <w:t>ing</w:t>
      </w:r>
      <w:r w:rsidR="006072F9">
        <w:rPr>
          <w:rFonts w:ascii="Arial" w:hAnsi="Arial" w:cs="Arial"/>
        </w:rPr>
        <w:t xml:space="preserve"> complaints from consumers </w:t>
      </w:r>
      <w:r w:rsidR="00E40D12">
        <w:rPr>
          <w:rFonts w:ascii="Arial" w:hAnsi="Arial" w:cs="Arial"/>
        </w:rPr>
        <w:t>on issues related to the NSA</w:t>
      </w:r>
      <w:r w:rsidR="00D27A2C">
        <w:rPr>
          <w:rFonts w:ascii="Arial" w:hAnsi="Arial" w:cs="Arial"/>
        </w:rPr>
        <w:t xml:space="preserve">. These </w:t>
      </w:r>
      <w:r w:rsidR="00E40D12">
        <w:rPr>
          <w:rFonts w:ascii="Arial" w:hAnsi="Arial" w:cs="Arial"/>
        </w:rPr>
        <w:t xml:space="preserve">complaints </w:t>
      </w:r>
      <w:r w:rsidR="00D27A2C">
        <w:rPr>
          <w:rFonts w:ascii="Arial" w:hAnsi="Arial" w:cs="Arial"/>
        </w:rPr>
        <w:t xml:space="preserve">may </w:t>
      </w:r>
      <w:r w:rsidR="00E40D12">
        <w:rPr>
          <w:rFonts w:ascii="Arial" w:hAnsi="Arial" w:cs="Arial"/>
        </w:rPr>
        <w:t xml:space="preserve">concern </w:t>
      </w:r>
      <w:r w:rsidR="00244BF9">
        <w:rPr>
          <w:rFonts w:ascii="Arial" w:hAnsi="Arial" w:cs="Arial"/>
        </w:rPr>
        <w:t xml:space="preserve">health care </w:t>
      </w:r>
      <w:r w:rsidR="00E40D12">
        <w:rPr>
          <w:rFonts w:ascii="Arial" w:hAnsi="Arial" w:cs="Arial"/>
        </w:rPr>
        <w:t xml:space="preserve">providers and </w:t>
      </w:r>
      <w:r w:rsidR="00244BF9">
        <w:rPr>
          <w:rFonts w:ascii="Arial" w:hAnsi="Arial" w:cs="Arial"/>
        </w:rPr>
        <w:t>facilities</w:t>
      </w:r>
      <w:r w:rsidR="00BC57DA">
        <w:rPr>
          <w:rFonts w:ascii="Arial" w:hAnsi="Arial" w:cs="Arial"/>
        </w:rPr>
        <w:t xml:space="preserve"> and </w:t>
      </w:r>
      <w:r w:rsidR="00D27A2C">
        <w:rPr>
          <w:rFonts w:ascii="Arial" w:hAnsi="Arial" w:cs="Arial"/>
        </w:rPr>
        <w:t>may be referred</w:t>
      </w:r>
      <w:r w:rsidR="000919FB">
        <w:rPr>
          <w:rFonts w:ascii="Arial" w:hAnsi="Arial" w:cs="Arial"/>
        </w:rPr>
        <w:t>,</w:t>
      </w:r>
      <w:r w:rsidR="00BC57DA">
        <w:rPr>
          <w:rFonts w:ascii="Arial" w:hAnsi="Arial" w:cs="Arial"/>
        </w:rPr>
        <w:t xml:space="preserve"> </w:t>
      </w:r>
      <w:r w:rsidR="000919FB">
        <w:rPr>
          <w:rFonts w:ascii="Arial" w:hAnsi="Arial" w:cs="Arial"/>
        </w:rPr>
        <w:t xml:space="preserve">as appropriate, </w:t>
      </w:r>
      <w:r w:rsidR="00BC57DA">
        <w:rPr>
          <w:rFonts w:ascii="Arial" w:hAnsi="Arial" w:cs="Arial"/>
        </w:rPr>
        <w:t xml:space="preserve">to other </w:t>
      </w:r>
      <w:r w:rsidR="00ED3CA9">
        <w:rPr>
          <w:rFonts w:ascii="Arial" w:hAnsi="Arial" w:cs="Arial"/>
        </w:rPr>
        <w:t>state</w:t>
      </w:r>
      <w:r w:rsidR="00BC57DA">
        <w:rPr>
          <w:rFonts w:ascii="Arial" w:hAnsi="Arial" w:cs="Arial"/>
        </w:rPr>
        <w:t xml:space="preserve"> </w:t>
      </w:r>
      <w:r w:rsidR="00AE5744">
        <w:rPr>
          <w:rFonts w:ascii="Arial" w:hAnsi="Arial" w:cs="Arial"/>
        </w:rPr>
        <w:t xml:space="preserve">or federal </w:t>
      </w:r>
      <w:r w:rsidR="00BC57DA">
        <w:rPr>
          <w:rFonts w:ascii="Arial" w:hAnsi="Arial" w:cs="Arial"/>
        </w:rPr>
        <w:t>agencies</w:t>
      </w:r>
      <w:r w:rsidR="004F0464">
        <w:rPr>
          <w:rFonts w:ascii="Arial" w:hAnsi="Arial" w:cs="Arial"/>
        </w:rPr>
        <w:t xml:space="preserve"> </w:t>
      </w:r>
      <w:r w:rsidR="00BC57DA">
        <w:rPr>
          <w:rFonts w:ascii="Arial" w:hAnsi="Arial" w:cs="Arial"/>
        </w:rPr>
        <w:t>for</w:t>
      </w:r>
      <w:r w:rsidR="002360AF">
        <w:rPr>
          <w:rFonts w:ascii="Arial" w:hAnsi="Arial" w:cs="Arial"/>
        </w:rPr>
        <w:t xml:space="preserve"> </w:t>
      </w:r>
      <w:r w:rsidR="00AE5744">
        <w:rPr>
          <w:rFonts w:ascii="Arial" w:hAnsi="Arial" w:cs="Arial"/>
        </w:rPr>
        <w:t>investigation</w:t>
      </w:r>
      <w:r w:rsidR="002360AF">
        <w:rPr>
          <w:rFonts w:ascii="Arial" w:hAnsi="Arial" w:cs="Arial"/>
        </w:rPr>
        <w:t xml:space="preserve"> and enforcement.</w:t>
      </w:r>
      <w:r w:rsidR="001964E4">
        <w:rPr>
          <w:rFonts w:ascii="Arial" w:hAnsi="Arial" w:cs="Arial"/>
        </w:rPr>
        <w:t xml:space="preserve"> </w:t>
      </w:r>
    </w:p>
    <w:p w14:paraId="2F55F516" w14:textId="77777777" w:rsidR="00344654" w:rsidRDefault="00344654" w:rsidP="00652FE6">
      <w:pPr>
        <w:jc w:val="center"/>
        <w:rPr>
          <w:rFonts w:ascii="Arial" w:hAnsi="Arial" w:cs="Arial"/>
          <w:b/>
          <w:bCs/>
          <w:u w:val="single"/>
        </w:rPr>
      </w:pPr>
    </w:p>
    <w:p w14:paraId="70C9DD37" w14:textId="4CD1FFFA" w:rsidR="007D31DD" w:rsidRPr="002A1C94" w:rsidRDefault="006B05B8" w:rsidP="00652FE6">
      <w:pPr>
        <w:jc w:val="center"/>
        <w:rPr>
          <w:rFonts w:ascii="Arial" w:hAnsi="Arial" w:cs="Arial"/>
          <w:b/>
          <w:bCs/>
          <w:u w:val="single"/>
        </w:rPr>
      </w:pPr>
      <w:r w:rsidRPr="002A1C94">
        <w:rPr>
          <w:rFonts w:ascii="Arial" w:hAnsi="Arial" w:cs="Arial"/>
          <w:b/>
          <w:bCs/>
          <w:u w:val="single"/>
        </w:rPr>
        <w:t>Background</w:t>
      </w:r>
    </w:p>
    <w:p w14:paraId="4534CCFD" w14:textId="77777777" w:rsidR="006B05B8" w:rsidRDefault="006B05B8" w:rsidP="0094150E">
      <w:pPr>
        <w:rPr>
          <w:rFonts w:ascii="Arial" w:hAnsi="Arial" w:cs="Arial"/>
        </w:rPr>
      </w:pPr>
    </w:p>
    <w:p w14:paraId="2B2483A4" w14:textId="4C76ADF1" w:rsidR="00D96F4E" w:rsidRDefault="00C806FB" w:rsidP="00D96F4E">
      <w:pPr>
        <w:rPr>
          <w:rFonts w:ascii="Arial" w:hAnsi="Arial" w:cs="Arial"/>
        </w:rPr>
      </w:pPr>
      <w:r>
        <w:rPr>
          <w:rFonts w:ascii="Arial" w:hAnsi="Arial" w:cs="Arial"/>
        </w:rPr>
        <w:t xml:space="preserve">As part of the Consolidated Appropriations Act of 2021, </w:t>
      </w:r>
      <w:r w:rsidR="00E42586">
        <w:rPr>
          <w:rFonts w:ascii="Arial" w:hAnsi="Arial" w:cs="Arial"/>
        </w:rPr>
        <w:t xml:space="preserve">on Dec. 27, 2020, </w:t>
      </w:r>
      <w:r>
        <w:rPr>
          <w:rFonts w:ascii="Arial" w:hAnsi="Arial" w:cs="Arial"/>
        </w:rPr>
        <w:t>the U.S. Congress</w:t>
      </w:r>
      <w:r w:rsidR="00464A15">
        <w:rPr>
          <w:rFonts w:ascii="Arial" w:hAnsi="Arial" w:cs="Arial"/>
        </w:rPr>
        <w:t xml:space="preserve"> </w:t>
      </w:r>
      <w:r w:rsidR="003578AF">
        <w:rPr>
          <w:rFonts w:ascii="Arial" w:hAnsi="Arial" w:cs="Arial"/>
        </w:rPr>
        <w:t>enacted legislation, the federal No Surprises Act (NSA)</w:t>
      </w:r>
      <w:r w:rsidR="00E42586">
        <w:rPr>
          <w:rFonts w:ascii="Arial" w:hAnsi="Arial" w:cs="Arial"/>
        </w:rPr>
        <w:t xml:space="preserve">, which contains many provisions to help protect consumers from surprise bills </w:t>
      </w:r>
      <w:r w:rsidR="00E31EEA">
        <w:rPr>
          <w:rFonts w:ascii="Arial" w:hAnsi="Arial" w:cs="Arial"/>
        </w:rPr>
        <w:t xml:space="preserve">for plans </w:t>
      </w:r>
      <w:r w:rsidR="00E42586">
        <w:rPr>
          <w:rFonts w:ascii="Arial" w:hAnsi="Arial" w:cs="Arial"/>
        </w:rPr>
        <w:t xml:space="preserve">starting </w:t>
      </w:r>
      <w:r w:rsidR="00E31EEA">
        <w:rPr>
          <w:rFonts w:ascii="Arial" w:hAnsi="Arial" w:cs="Arial"/>
        </w:rPr>
        <w:t>in</w:t>
      </w:r>
      <w:r w:rsidR="00E42586">
        <w:rPr>
          <w:rFonts w:ascii="Arial" w:hAnsi="Arial" w:cs="Arial"/>
        </w:rPr>
        <w:t xml:space="preserve"> 2022</w:t>
      </w:r>
      <w:r w:rsidR="00D96F4E">
        <w:rPr>
          <w:rFonts w:ascii="Arial" w:hAnsi="Arial" w:cs="Arial"/>
        </w:rPr>
        <w:t>. The pro</w:t>
      </w:r>
      <w:r w:rsidR="00DF774B">
        <w:rPr>
          <w:rFonts w:ascii="Arial" w:hAnsi="Arial" w:cs="Arial"/>
        </w:rPr>
        <w:t>visions in the NSA create requirements that apply to</w:t>
      </w:r>
      <w:r w:rsidR="002A1C94">
        <w:rPr>
          <w:rFonts w:ascii="Arial" w:hAnsi="Arial" w:cs="Arial"/>
        </w:rPr>
        <w:t xml:space="preserve"> health care providers and facilities and providers of air ambulance services, such as cost-sharing rules, prohibitions on balance billing for certain items and services, notice and consent requirements and requirements related to disclosures about balance billing protections. </w:t>
      </w:r>
    </w:p>
    <w:p w14:paraId="2CC15288" w14:textId="77777777" w:rsidR="002A1C94" w:rsidRDefault="002A1C94" w:rsidP="00D96F4E">
      <w:pPr>
        <w:rPr>
          <w:rFonts w:ascii="Arial" w:hAnsi="Arial" w:cs="Arial"/>
        </w:rPr>
      </w:pPr>
    </w:p>
    <w:p w14:paraId="45AE295C" w14:textId="7862FB70" w:rsidR="00837F13" w:rsidRDefault="00F05210" w:rsidP="00837F13">
      <w:pPr>
        <w:rPr>
          <w:rFonts w:ascii="Arial" w:hAnsi="Arial" w:cs="Arial"/>
        </w:rPr>
      </w:pPr>
      <w:r w:rsidRPr="6696BF05">
        <w:rPr>
          <w:rFonts w:ascii="Arial" w:hAnsi="Arial" w:cs="Arial"/>
        </w:rPr>
        <w:t xml:space="preserve">These health care provider and facility and provider of air ambulance services requirements generally apply to items and services </w:t>
      </w:r>
      <w:r w:rsidR="00837F13" w:rsidRPr="6696BF05">
        <w:rPr>
          <w:rFonts w:ascii="Arial" w:hAnsi="Arial" w:cs="Arial"/>
        </w:rPr>
        <w:t>provided to individuals enrolled in group health plans or group or individual health insurance coverage, including Federal Employees Health Benefit</w:t>
      </w:r>
      <w:r w:rsidR="00B012D7">
        <w:rPr>
          <w:rFonts w:ascii="Arial" w:hAnsi="Arial" w:cs="Arial"/>
        </w:rPr>
        <w:t>s (FEHB)</w:t>
      </w:r>
      <w:r w:rsidR="00837F13" w:rsidRPr="6696BF05">
        <w:rPr>
          <w:rFonts w:ascii="Arial" w:hAnsi="Arial" w:cs="Arial"/>
        </w:rPr>
        <w:t xml:space="preserve"> plans. The NSA’s requirements related to the </w:t>
      </w:r>
      <w:r w:rsidR="008675E2">
        <w:rPr>
          <w:rFonts w:ascii="Arial" w:hAnsi="Arial" w:cs="Arial"/>
        </w:rPr>
        <w:t xml:space="preserve">good faith estimates </w:t>
      </w:r>
      <w:r w:rsidR="00EA1595">
        <w:rPr>
          <w:rFonts w:ascii="Arial" w:hAnsi="Arial" w:cs="Arial"/>
        </w:rPr>
        <w:t xml:space="preserve">and </w:t>
      </w:r>
      <w:r w:rsidR="00837F13" w:rsidRPr="6696BF05">
        <w:rPr>
          <w:rFonts w:ascii="Arial" w:hAnsi="Arial" w:cs="Arial"/>
        </w:rPr>
        <w:t xml:space="preserve">patient-provider dispute resolution process also apply to </w:t>
      </w:r>
      <w:r w:rsidR="002217D1" w:rsidRPr="6696BF05">
        <w:rPr>
          <w:rFonts w:ascii="Arial" w:hAnsi="Arial" w:cs="Arial"/>
        </w:rPr>
        <w:t>individuals with</w:t>
      </w:r>
      <w:r w:rsidR="00BC23FB" w:rsidRPr="6696BF05">
        <w:rPr>
          <w:rFonts w:ascii="Arial" w:hAnsi="Arial" w:cs="Arial"/>
        </w:rPr>
        <w:t xml:space="preserve"> no</w:t>
      </w:r>
      <w:r w:rsidR="002217D1" w:rsidRPr="6696BF05">
        <w:rPr>
          <w:rFonts w:ascii="Arial" w:hAnsi="Arial" w:cs="Arial"/>
        </w:rPr>
        <w:t xml:space="preserve"> health insurance coverage</w:t>
      </w:r>
      <w:r w:rsidR="00EA1595">
        <w:rPr>
          <w:rFonts w:ascii="Arial" w:hAnsi="Arial" w:cs="Arial"/>
        </w:rPr>
        <w:t xml:space="preserve"> and</w:t>
      </w:r>
      <w:r w:rsidR="00393F03">
        <w:rPr>
          <w:rFonts w:ascii="Arial" w:hAnsi="Arial" w:cs="Arial"/>
        </w:rPr>
        <w:t xml:space="preserve"> individuals choosing not to </w:t>
      </w:r>
      <w:r w:rsidR="0074108F">
        <w:rPr>
          <w:rFonts w:ascii="Arial" w:hAnsi="Arial" w:cs="Arial"/>
        </w:rPr>
        <w:t>use their health insurance coverage</w:t>
      </w:r>
      <w:r w:rsidR="002217D1" w:rsidRPr="6696BF05">
        <w:rPr>
          <w:rFonts w:ascii="Arial" w:hAnsi="Arial" w:cs="Arial"/>
        </w:rPr>
        <w:t xml:space="preserve">. </w:t>
      </w:r>
    </w:p>
    <w:p w14:paraId="08EB595D" w14:textId="77777777" w:rsidR="002217D1" w:rsidRDefault="002217D1" w:rsidP="00837F13">
      <w:pPr>
        <w:rPr>
          <w:rFonts w:ascii="Arial" w:hAnsi="Arial" w:cs="Arial"/>
        </w:rPr>
      </w:pPr>
    </w:p>
    <w:p w14:paraId="65123833" w14:textId="77777777" w:rsidR="00701102" w:rsidRDefault="00701102" w:rsidP="00652FE6">
      <w:pPr>
        <w:jc w:val="center"/>
        <w:rPr>
          <w:rFonts w:ascii="Arial" w:hAnsi="Arial" w:cs="Arial"/>
          <w:b/>
          <w:bCs/>
          <w:u w:val="single"/>
        </w:rPr>
      </w:pPr>
    </w:p>
    <w:p w14:paraId="1889A4E7" w14:textId="77777777" w:rsidR="00701102" w:rsidRDefault="00701102" w:rsidP="00652FE6">
      <w:pPr>
        <w:jc w:val="center"/>
        <w:rPr>
          <w:rFonts w:ascii="Arial" w:hAnsi="Arial" w:cs="Arial"/>
          <w:b/>
          <w:bCs/>
          <w:u w:val="single"/>
        </w:rPr>
      </w:pPr>
    </w:p>
    <w:p w14:paraId="3FD4213A" w14:textId="77777777" w:rsidR="00701102" w:rsidRDefault="00701102" w:rsidP="00652FE6">
      <w:pPr>
        <w:jc w:val="center"/>
        <w:rPr>
          <w:rFonts w:ascii="Arial" w:hAnsi="Arial" w:cs="Arial"/>
          <w:b/>
          <w:bCs/>
          <w:u w:val="single"/>
        </w:rPr>
      </w:pPr>
    </w:p>
    <w:p w14:paraId="7ADA64CD" w14:textId="77777777" w:rsidR="00701102" w:rsidRDefault="00701102" w:rsidP="00652FE6">
      <w:pPr>
        <w:jc w:val="center"/>
        <w:rPr>
          <w:rFonts w:ascii="Arial" w:hAnsi="Arial" w:cs="Arial"/>
          <w:b/>
          <w:bCs/>
          <w:u w:val="single"/>
        </w:rPr>
      </w:pPr>
    </w:p>
    <w:p w14:paraId="1DAA9563" w14:textId="7D0B8040" w:rsidR="00837F13" w:rsidRPr="00114E8A" w:rsidRDefault="00AC4082" w:rsidP="00652FE6">
      <w:pPr>
        <w:jc w:val="center"/>
        <w:rPr>
          <w:rFonts w:ascii="Arial" w:hAnsi="Arial" w:cs="Arial"/>
          <w:b/>
          <w:bCs/>
          <w:u w:val="single"/>
        </w:rPr>
      </w:pPr>
      <w:r w:rsidRPr="00114E8A">
        <w:rPr>
          <w:rFonts w:ascii="Arial" w:hAnsi="Arial" w:cs="Arial"/>
          <w:b/>
          <w:bCs/>
          <w:u w:val="single"/>
        </w:rPr>
        <w:lastRenderedPageBreak/>
        <w:t xml:space="preserve">Health Care Provider and Facility </w:t>
      </w:r>
      <w:r w:rsidR="00E62C57">
        <w:rPr>
          <w:rFonts w:ascii="Arial" w:hAnsi="Arial" w:cs="Arial"/>
          <w:b/>
          <w:bCs/>
          <w:u w:val="single"/>
        </w:rPr>
        <w:t xml:space="preserve">and Provider of Air Ambulance Services </w:t>
      </w:r>
      <w:r w:rsidRPr="00114E8A">
        <w:rPr>
          <w:rFonts w:ascii="Arial" w:hAnsi="Arial" w:cs="Arial"/>
          <w:b/>
          <w:bCs/>
          <w:u w:val="single"/>
        </w:rPr>
        <w:t xml:space="preserve">Requirements </w:t>
      </w:r>
      <w:r w:rsidR="00542CD1" w:rsidRPr="00114E8A">
        <w:rPr>
          <w:rFonts w:ascii="Arial" w:hAnsi="Arial" w:cs="Arial"/>
          <w:b/>
          <w:bCs/>
          <w:u w:val="single"/>
        </w:rPr>
        <w:t xml:space="preserve">that Apply </w:t>
      </w:r>
      <w:r w:rsidR="001678D0">
        <w:rPr>
          <w:rFonts w:ascii="Arial" w:hAnsi="Arial" w:cs="Arial"/>
          <w:b/>
          <w:bCs/>
          <w:u w:val="single"/>
        </w:rPr>
        <w:t xml:space="preserve">to Plans </w:t>
      </w:r>
      <w:r w:rsidR="0018649F" w:rsidRPr="00114E8A">
        <w:rPr>
          <w:rFonts w:ascii="Arial" w:hAnsi="Arial" w:cs="Arial"/>
          <w:b/>
          <w:bCs/>
          <w:u w:val="single"/>
        </w:rPr>
        <w:t xml:space="preserve">Starting </w:t>
      </w:r>
      <w:r w:rsidR="00A05588">
        <w:rPr>
          <w:rFonts w:ascii="Arial" w:hAnsi="Arial" w:cs="Arial"/>
          <w:b/>
          <w:bCs/>
          <w:u w:val="single"/>
        </w:rPr>
        <w:t>in</w:t>
      </w:r>
      <w:r w:rsidR="00A1642E" w:rsidRPr="00114E8A">
        <w:rPr>
          <w:rFonts w:ascii="Arial" w:hAnsi="Arial" w:cs="Arial"/>
          <w:b/>
          <w:bCs/>
          <w:u w:val="single"/>
        </w:rPr>
        <w:t>2022</w:t>
      </w:r>
    </w:p>
    <w:p w14:paraId="6FB24ABD" w14:textId="77777777" w:rsidR="00837F13" w:rsidRDefault="00837F13" w:rsidP="00837F13">
      <w:pPr>
        <w:rPr>
          <w:rFonts w:ascii="Arial" w:hAnsi="Arial" w:cs="Arial"/>
        </w:rPr>
      </w:pPr>
    </w:p>
    <w:p w14:paraId="62834D2E" w14:textId="0C0554AD" w:rsidR="005A011C" w:rsidRPr="008B2764" w:rsidRDefault="005A011C" w:rsidP="00837F13">
      <w:pPr>
        <w:rPr>
          <w:rFonts w:ascii="Arial" w:hAnsi="Arial" w:cs="Arial"/>
          <w:i/>
          <w:iCs/>
        </w:rPr>
      </w:pPr>
      <w:r w:rsidRPr="008B2764">
        <w:rPr>
          <w:rFonts w:ascii="Arial" w:hAnsi="Arial" w:cs="Arial"/>
          <w:i/>
          <w:iCs/>
        </w:rPr>
        <w:t>Health care providers and faci</w:t>
      </w:r>
      <w:r w:rsidR="00C501D1" w:rsidRPr="008B2764">
        <w:rPr>
          <w:rFonts w:ascii="Arial" w:hAnsi="Arial" w:cs="Arial"/>
          <w:i/>
          <w:iCs/>
        </w:rPr>
        <w:t>lities and providers of air ambulance services:</w:t>
      </w:r>
    </w:p>
    <w:p w14:paraId="2057B583" w14:textId="77777777" w:rsidR="005A011C" w:rsidRPr="00837F13" w:rsidRDefault="005A011C" w:rsidP="00837F13">
      <w:pPr>
        <w:rPr>
          <w:rFonts w:ascii="Arial" w:hAnsi="Arial" w:cs="Arial"/>
        </w:rPr>
      </w:pPr>
    </w:p>
    <w:p w14:paraId="44375255" w14:textId="3D44223E" w:rsidR="005A011C" w:rsidRPr="008B2764" w:rsidRDefault="00C501D1" w:rsidP="008B2764">
      <w:pPr>
        <w:pStyle w:val="ListParagraph"/>
        <w:numPr>
          <w:ilvl w:val="0"/>
          <w:numId w:val="6"/>
        </w:numPr>
        <w:rPr>
          <w:rFonts w:ascii="Arial" w:hAnsi="Arial" w:cs="Arial"/>
        </w:rPr>
      </w:pPr>
      <w:r w:rsidRPr="008B2764">
        <w:rPr>
          <w:rFonts w:ascii="Arial" w:hAnsi="Arial" w:cs="Arial"/>
        </w:rPr>
        <w:t>May not</w:t>
      </w:r>
      <w:r w:rsidR="0010479B" w:rsidRPr="008B2764">
        <w:rPr>
          <w:rFonts w:ascii="Arial" w:hAnsi="Arial" w:cs="Arial"/>
        </w:rPr>
        <w:t xml:space="preserve"> balance bill for out of network emergency services (P</w:t>
      </w:r>
      <w:r w:rsidR="008F0DF5" w:rsidRPr="008B2764">
        <w:rPr>
          <w:rFonts w:ascii="Arial" w:hAnsi="Arial" w:cs="Arial"/>
        </w:rPr>
        <w:t>u</w:t>
      </w:r>
      <w:r w:rsidR="00B07EB2" w:rsidRPr="008B2764">
        <w:rPr>
          <w:rFonts w:ascii="Arial" w:hAnsi="Arial" w:cs="Arial"/>
        </w:rPr>
        <w:t xml:space="preserve">blic Health Service </w:t>
      </w:r>
      <w:r w:rsidR="0010479B" w:rsidRPr="008B2764">
        <w:rPr>
          <w:rFonts w:ascii="Arial" w:hAnsi="Arial" w:cs="Arial"/>
        </w:rPr>
        <w:t xml:space="preserve">Act </w:t>
      </w:r>
      <w:r w:rsidR="00B07EB2" w:rsidRPr="008B2764">
        <w:rPr>
          <w:rFonts w:ascii="Arial" w:hAnsi="Arial" w:cs="Arial"/>
        </w:rPr>
        <w:t>(PHS</w:t>
      </w:r>
      <w:r w:rsidR="0030748F">
        <w:rPr>
          <w:rFonts w:ascii="Arial" w:hAnsi="Arial" w:cs="Arial"/>
        </w:rPr>
        <w:t xml:space="preserve"> </w:t>
      </w:r>
      <w:r w:rsidR="00B07EB2" w:rsidRPr="008B2764">
        <w:rPr>
          <w:rFonts w:ascii="Arial" w:hAnsi="Arial" w:cs="Arial"/>
        </w:rPr>
        <w:t>A</w:t>
      </w:r>
      <w:r w:rsidR="0030748F">
        <w:rPr>
          <w:rFonts w:ascii="Arial" w:hAnsi="Arial" w:cs="Arial"/>
        </w:rPr>
        <w:t>ct</w:t>
      </w:r>
      <w:r w:rsidR="00B07EB2" w:rsidRPr="008B2764">
        <w:rPr>
          <w:rFonts w:ascii="Arial" w:hAnsi="Arial" w:cs="Arial"/>
        </w:rPr>
        <w:t xml:space="preserve">) </w:t>
      </w:r>
      <w:r w:rsidR="0010479B" w:rsidRPr="008B2764">
        <w:rPr>
          <w:rFonts w:ascii="Arial" w:hAnsi="Arial" w:cs="Arial"/>
        </w:rPr>
        <w:t>section 2799B-1; 45 C.F.R. section 149.410)</w:t>
      </w:r>
      <w:r w:rsidR="005A011C" w:rsidRPr="008B2764">
        <w:rPr>
          <w:rFonts w:ascii="Arial" w:hAnsi="Arial" w:cs="Arial"/>
        </w:rPr>
        <w:t>.</w:t>
      </w:r>
    </w:p>
    <w:p w14:paraId="14CD0346" w14:textId="1AB60DF8" w:rsidR="005A011C" w:rsidRPr="005A011C" w:rsidRDefault="008B2764" w:rsidP="005A011C">
      <w:pPr>
        <w:pStyle w:val="ListParagraph"/>
        <w:numPr>
          <w:ilvl w:val="0"/>
          <w:numId w:val="2"/>
        </w:numPr>
        <w:rPr>
          <w:rFonts w:ascii="Arial" w:hAnsi="Arial" w:cs="Arial"/>
        </w:rPr>
      </w:pPr>
      <w:r>
        <w:rPr>
          <w:rFonts w:ascii="Arial" w:hAnsi="Arial" w:cs="Arial"/>
        </w:rPr>
        <w:t xml:space="preserve">May not </w:t>
      </w:r>
      <w:r w:rsidR="005A011C" w:rsidRPr="005A011C">
        <w:rPr>
          <w:rFonts w:ascii="Arial" w:hAnsi="Arial" w:cs="Arial"/>
        </w:rPr>
        <w:t>balance bill for non-emergency services by nonparticipating providers at certain participating health care facilities, unless notice and consent was given in some circumstances (PHS Act section 2799B-2; 45 C.F.R. section 149.420)</w:t>
      </w:r>
      <w:r>
        <w:rPr>
          <w:rFonts w:ascii="Arial" w:hAnsi="Arial" w:cs="Arial"/>
        </w:rPr>
        <w:t>.</w:t>
      </w:r>
      <w:r w:rsidR="005A011C" w:rsidRPr="005A011C">
        <w:rPr>
          <w:rFonts w:ascii="Arial" w:hAnsi="Arial" w:cs="Arial"/>
        </w:rPr>
        <w:t xml:space="preserve"> </w:t>
      </w:r>
    </w:p>
    <w:p w14:paraId="1803547F" w14:textId="784EB94C" w:rsidR="005A011C" w:rsidRPr="005A011C" w:rsidRDefault="008B2764" w:rsidP="005A011C">
      <w:pPr>
        <w:pStyle w:val="ListParagraph"/>
        <w:numPr>
          <w:ilvl w:val="0"/>
          <w:numId w:val="2"/>
        </w:numPr>
        <w:rPr>
          <w:rFonts w:ascii="Arial" w:hAnsi="Arial" w:cs="Arial"/>
        </w:rPr>
      </w:pPr>
      <w:r>
        <w:rPr>
          <w:rFonts w:ascii="Arial" w:hAnsi="Arial" w:cs="Arial"/>
        </w:rPr>
        <w:t>Shall d</w:t>
      </w:r>
      <w:r w:rsidR="005A011C" w:rsidRPr="005A011C">
        <w:rPr>
          <w:rFonts w:ascii="Arial" w:hAnsi="Arial" w:cs="Arial"/>
        </w:rPr>
        <w:t xml:space="preserve">isclose patient protections against balance billing (PHS Act section 2799B-3; 45 C.F.R. section 149.430) </w:t>
      </w:r>
    </w:p>
    <w:p w14:paraId="799E7F97" w14:textId="3A80D626" w:rsidR="00C309FF" w:rsidRDefault="004813CC" w:rsidP="00C309FF">
      <w:pPr>
        <w:pStyle w:val="ListParagraph"/>
        <w:numPr>
          <w:ilvl w:val="0"/>
          <w:numId w:val="2"/>
        </w:numPr>
        <w:rPr>
          <w:rFonts w:ascii="Arial" w:hAnsi="Arial" w:cs="Arial"/>
        </w:rPr>
      </w:pPr>
      <w:r>
        <w:rPr>
          <w:rFonts w:ascii="Arial" w:hAnsi="Arial" w:cs="Arial"/>
        </w:rPr>
        <w:t>May not</w:t>
      </w:r>
      <w:r w:rsidR="00C309FF" w:rsidRPr="00C309FF">
        <w:rPr>
          <w:rFonts w:ascii="Arial" w:hAnsi="Arial" w:cs="Arial"/>
        </w:rPr>
        <w:t xml:space="preserve"> balance bill for air ambulance services by nonparticipating air ambulance providers (PHS Act section 2799B-5; 45 C.F.R. section 149.440)</w:t>
      </w:r>
    </w:p>
    <w:p w14:paraId="7BA43D9D" w14:textId="48A3D81B" w:rsidR="000021EA" w:rsidRPr="00C309FF" w:rsidRDefault="006055ED" w:rsidP="00C309FF">
      <w:pPr>
        <w:pStyle w:val="ListParagraph"/>
        <w:numPr>
          <w:ilvl w:val="0"/>
          <w:numId w:val="2"/>
        </w:numPr>
        <w:rPr>
          <w:rFonts w:ascii="Arial" w:hAnsi="Arial" w:cs="Arial"/>
        </w:rPr>
      </w:pPr>
      <w:r>
        <w:rPr>
          <w:rFonts w:ascii="Arial" w:hAnsi="Arial" w:cs="Arial"/>
        </w:rPr>
        <w:t xml:space="preserve"> </w:t>
      </w:r>
      <w:r w:rsidR="0076140F">
        <w:rPr>
          <w:rFonts w:ascii="Arial" w:hAnsi="Arial" w:cs="Arial"/>
        </w:rPr>
        <w:t xml:space="preserve">Shall </w:t>
      </w:r>
      <w:r>
        <w:rPr>
          <w:rFonts w:ascii="Arial" w:hAnsi="Arial" w:cs="Arial"/>
        </w:rPr>
        <w:t xml:space="preserve">provide a good faith estimate in </w:t>
      </w:r>
      <w:r w:rsidR="00A72C65">
        <w:rPr>
          <w:rFonts w:ascii="Arial" w:hAnsi="Arial" w:cs="Arial"/>
        </w:rPr>
        <w:t>advance of scheduled services, or upon request (PHS Act section 2799B</w:t>
      </w:r>
      <w:r w:rsidR="008176E7">
        <w:rPr>
          <w:rFonts w:ascii="Arial" w:hAnsi="Arial" w:cs="Arial"/>
        </w:rPr>
        <w:t>-6; 45 C.F.R. section 149.610 (for uninsured or self-pay individuals)</w:t>
      </w:r>
    </w:p>
    <w:p w14:paraId="3C6C599A" w14:textId="182A348A" w:rsidR="0010479B" w:rsidRPr="00714FFC" w:rsidRDefault="004813CC" w:rsidP="2493D6B0">
      <w:pPr>
        <w:pStyle w:val="ListParagraph"/>
        <w:numPr>
          <w:ilvl w:val="0"/>
          <w:numId w:val="2"/>
        </w:numPr>
        <w:rPr>
          <w:rFonts w:asciiTheme="minorHAnsi" w:eastAsiaTheme="minorEastAsia" w:hAnsiTheme="minorHAnsi" w:cstheme="minorBidi"/>
        </w:rPr>
      </w:pPr>
      <w:r w:rsidRPr="2493D6B0">
        <w:rPr>
          <w:rFonts w:ascii="Arial" w:hAnsi="Arial" w:cs="Arial"/>
        </w:rPr>
        <w:t xml:space="preserve">Shall </w:t>
      </w:r>
      <w:r w:rsidR="008A0120">
        <w:rPr>
          <w:rFonts w:ascii="Arial" w:hAnsi="Arial" w:cs="Arial"/>
        </w:rPr>
        <w:t>submit accurate information</w:t>
      </w:r>
      <w:r w:rsidR="00E8743E">
        <w:rPr>
          <w:rFonts w:ascii="Arial" w:hAnsi="Arial" w:cs="Arial"/>
        </w:rPr>
        <w:t xml:space="preserve"> for</w:t>
      </w:r>
      <w:r w:rsidR="00C309FF" w:rsidRPr="2493D6B0">
        <w:rPr>
          <w:rFonts w:ascii="Arial" w:hAnsi="Arial" w:cs="Arial"/>
        </w:rPr>
        <w:t xml:space="preserve"> provider directories and reimburse enrollees for errors (PHS Act section 2799B-9)</w:t>
      </w:r>
    </w:p>
    <w:p w14:paraId="3AF4C563" w14:textId="77777777" w:rsidR="003461C0" w:rsidRPr="00714FFC" w:rsidRDefault="003461C0" w:rsidP="003461C0">
      <w:pPr>
        <w:rPr>
          <w:rFonts w:ascii="Arial" w:hAnsi="Arial" w:cs="Arial"/>
        </w:rPr>
      </w:pPr>
    </w:p>
    <w:p w14:paraId="7A4187B2" w14:textId="4583259C" w:rsidR="004B3E8C" w:rsidRPr="00652FE6" w:rsidRDefault="00981192" w:rsidP="00652FE6">
      <w:pPr>
        <w:jc w:val="center"/>
        <w:rPr>
          <w:rFonts w:ascii="Arial" w:hAnsi="Arial" w:cs="Arial"/>
          <w:b/>
          <w:bCs/>
          <w:u w:val="single"/>
        </w:rPr>
      </w:pPr>
      <w:r w:rsidRPr="00652FE6">
        <w:rPr>
          <w:rFonts w:ascii="Arial" w:hAnsi="Arial" w:cs="Arial"/>
          <w:b/>
          <w:bCs/>
          <w:u w:val="single"/>
        </w:rPr>
        <w:t xml:space="preserve">Summary of Major NSA </w:t>
      </w:r>
      <w:r w:rsidR="003832A6">
        <w:rPr>
          <w:rFonts w:ascii="Arial" w:hAnsi="Arial" w:cs="Arial"/>
          <w:b/>
          <w:bCs/>
          <w:u w:val="single"/>
        </w:rPr>
        <w:t xml:space="preserve">Health Care </w:t>
      </w:r>
      <w:r w:rsidR="00093DD0">
        <w:rPr>
          <w:rFonts w:ascii="Arial" w:hAnsi="Arial" w:cs="Arial"/>
          <w:b/>
          <w:bCs/>
          <w:u w:val="single"/>
        </w:rPr>
        <w:t xml:space="preserve">Provider and Facility </w:t>
      </w:r>
      <w:r w:rsidR="00ED1F4A">
        <w:rPr>
          <w:rFonts w:ascii="Arial" w:hAnsi="Arial" w:cs="Arial"/>
          <w:b/>
          <w:bCs/>
          <w:u w:val="single"/>
        </w:rPr>
        <w:t xml:space="preserve">and </w:t>
      </w:r>
      <w:r w:rsidR="00F108AF">
        <w:rPr>
          <w:rFonts w:ascii="Arial" w:hAnsi="Arial" w:cs="Arial"/>
          <w:b/>
          <w:bCs/>
          <w:u w:val="single"/>
        </w:rPr>
        <w:t xml:space="preserve">Provider of </w:t>
      </w:r>
      <w:r w:rsidR="00ED1F4A">
        <w:rPr>
          <w:rFonts w:ascii="Arial" w:hAnsi="Arial" w:cs="Arial"/>
          <w:b/>
          <w:bCs/>
          <w:u w:val="single"/>
        </w:rPr>
        <w:t>Air Ambulance Ser</w:t>
      </w:r>
      <w:r w:rsidR="00F108AF">
        <w:rPr>
          <w:rFonts w:ascii="Arial" w:hAnsi="Arial" w:cs="Arial"/>
          <w:b/>
          <w:bCs/>
          <w:u w:val="single"/>
        </w:rPr>
        <w:t xml:space="preserve">vices </w:t>
      </w:r>
      <w:r w:rsidRPr="00652FE6">
        <w:rPr>
          <w:rFonts w:ascii="Arial" w:hAnsi="Arial" w:cs="Arial"/>
          <w:b/>
          <w:bCs/>
          <w:u w:val="single"/>
        </w:rPr>
        <w:t>Requirements</w:t>
      </w:r>
    </w:p>
    <w:p w14:paraId="02A7A9D1" w14:textId="77777777" w:rsidR="004B3E8C" w:rsidRDefault="004B3E8C" w:rsidP="00884FE7">
      <w:pPr>
        <w:rPr>
          <w:rFonts w:ascii="Arial" w:hAnsi="Arial" w:cs="Arial"/>
          <w:i/>
          <w:iCs/>
        </w:rPr>
      </w:pPr>
    </w:p>
    <w:p w14:paraId="08970472" w14:textId="538C302D" w:rsidR="00F36888" w:rsidRPr="00435EF1" w:rsidRDefault="00435EF1" w:rsidP="00140DB0">
      <w:pPr>
        <w:tabs>
          <w:tab w:val="left" w:pos="360"/>
          <w:tab w:val="left" w:pos="720"/>
        </w:tabs>
        <w:rPr>
          <w:rFonts w:ascii="Arial" w:hAnsi="Arial" w:cs="Arial"/>
          <w:b/>
          <w:bCs/>
        </w:rPr>
      </w:pPr>
      <w:r>
        <w:rPr>
          <w:rFonts w:ascii="Arial" w:hAnsi="Arial" w:cs="Arial"/>
          <w:b/>
          <w:bCs/>
        </w:rPr>
        <w:t>1)</w:t>
      </w:r>
      <w:r w:rsidR="00C86A9C">
        <w:rPr>
          <w:rFonts w:ascii="Arial" w:hAnsi="Arial" w:cs="Arial"/>
          <w:b/>
          <w:bCs/>
        </w:rPr>
        <w:tab/>
      </w:r>
      <w:r w:rsidRPr="00E3157C">
        <w:rPr>
          <w:rFonts w:ascii="Arial" w:hAnsi="Arial" w:cs="Arial"/>
          <w:b/>
          <w:bCs/>
        </w:rPr>
        <w:t>No balance billing for out-of-network emergency services</w:t>
      </w:r>
    </w:p>
    <w:p w14:paraId="16CFA42E" w14:textId="77777777" w:rsidR="00F36888" w:rsidRDefault="00F36888" w:rsidP="00884FE7">
      <w:pPr>
        <w:rPr>
          <w:rFonts w:ascii="Arial" w:hAnsi="Arial" w:cs="Arial"/>
          <w:i/>
          <w:iCs/>
        </w:rPr>
      </w:pPr>
    </w:p>
    <w:p w14:paraId="6AE0CF8B" w14:textId="3CDF656E" w:rsidR="001A5A74" w:rsidRPr="00884FE7" w:rsidRDefault="001A5A74" w:rsidP="00884FE7">
      <w:pPr>
        <w:rPr>
          <w:rFonts w:ascii="Arial" w:hAnsi="Arial" w:cs="Arial"/>
        </w:rPr>
      </w:pPr>
      <w:r w:rsidRPr="00884FE7">
        <w:rPr>
          <w:rFonts w:ascii="Arial" w:hAnsi="Arial" w:cs="Arial"/>
          <w:i/>
          <w:iCs/>
        </w:rPr>
        <w:t>Nonparticipating</w:t>
      </w:r>
      <w:r w:rsidR="00006B55">
        <w:rPr>
          <w:rFonts w:ascii="Arial" w:hAnsi="Arial" w:cs="Arial"/>
          <w:i/>
          <w:iCs/>
        </w:rPr>
        <w:t xml:space="preserve"> </w:t>
      </w:r>
      <w:r w:rsidRPr="00884FE7">
        <w:rPr>
          <w:rFonts w:ascii="Arial" w:hAnsi="Arial" w:cs="Arial"/>
          <w:i/>
          <w:iCs/>
        </w:rPr>
        <w:t xml:space="preserve">providers </w:t>
      </w:r>
      <w:r w:rsidRPr="00884FE7">
        <w:rPr>
          <w:rFonts w:ascii="Arial" w:hAnsi="Arial" w:cs="Arial"/>
        </w:rPr>
        <w:t xml:space="preserve">and </w:t>
      </w:r>
      <w:r w:rsidRPr="00884FE7">
        <w:rPr>
          <w:rFonts w:ascii="Arial" w:hAnsi="Arial" w:cs="Arial"/>
          <w:i/>
          <w:iCs/>
        </w:rPr>
        <w:t xml:space="preserve">nonparticipating emergency facilities </w:t>
      </w:r>
      <w:r w:rsidRPr="00884FE7">
        <w:rPr>
          <w:rFonts w:ascii="Arial" w:hAnsi="Arial" w:cs="Arial"/>
        </w:rPr>
        <w:t xml:space="preserve">: </w:t>
      </w:r>
    </w:p>
    <w:p w14:paraId="6D000197" w14:textId="77777777" w:rsidR="00DD0F8C" w:rsidRDefault="00DD0F8C" w:rsidP="001A5A74">
      <w:pPr>
        <w:rPr>
          <w:rFonts w:ascii="Arial" w:hAnsi="Arial" w:cs="Arial"/>
        </w:rPr>
      </w:pPr>
    </w:p>
    <w:p w14:paraId="4D86E9E0" w14:textId="31C28091" w:rsidR="001A5A74" w:rsidRPr="00884FE7" w:rsidRDefault="001A5A74" w:rsidP="00884FE7">
      <w:pPr>
        <w:pStyle w:val="ListParagraph"/>
        <w:numPr>
          <w:ilvl w:val="0"/>
          <w:numId w:val="4"/>
        </w:numPr>
        <w:rPr>
          <w:rFonts w:ascii="Arial" w:hAnsi="Arial" w:cs="Arial"/>
        </w:rPr>
      </w:pPr>
      <w:r w:rsidRPr="2493D6B0">
        <w:rPr>
          <w:rFonts w:ascii="Arial" w:hAnsi="Arial" w:cs="Arial"/>
        </w:rPr>
        <w:t xml:space="preserve">Cannot bill or hold liable enrollees in group health plans or group or individual health insurance coverage who received </w:t>
      </w:r>
      <w:r w:rsidRPr="2493D6B0">
        <w:rPr>
          <w:rFonts w:ascii="Arial" w:hAnsi="Arial" w:cs="Arial"/>
          <w:i/>
          <w:iCs/>
        </w:rPr>
        <w:t xml:space="preserve">emergency services </w:t>
      </w:r>
      <w:r w:rsidRPr="2493D6B0">
        <w:rPr>
          <w:rFonts w:ascii="Arial" w:hAnsi="Arial" w:cs="Arial"/>
        </w:rPr>
        <w:t xml:space="preserve">at an emergency department of a hospital or an independent freestanding emergency department for a payment amount greater than the in-network </w:t>
      </w:r>
      <w:r w:rsidRPr="2493D6B0">
        <w:rPr>
          <w:rFonts w:ascii="Arial" w:hAnsi="Arial" w:cs="Arial"/>
          <w:i/>
          <w:iCs/>
        </w:rPr>
        <w:t xml:space="preserve">cost-sharing requirement </w:t>
      </w:r>
      <w:r w:rsidRPr="2493D6B0">
        <w:rPr>
          <w:rFonts w:ascii="Arial" w:hAnsi="Arial" w:cs="Arial"/>
        </w:rPr>
        <w:t xml:space="preserve">for such services. </w:t>
      </w:r>
    </w:p>
    <w:p w14:paraId="4BC7233F" w14:textId="77777777" w:rsidR="001A5A74" w:rsidRPr="001A5A74" w:rsidRDefault="001A5A74" w:rsidP="001A5A74">
      <w:pPr>
        <w:rPr>
          <w:rFonts w:ascii="Arial" w:hAnsi="Arial" w:cs="Arial"/>
        </w:rPr>
      </w:pPr>
    </w:p>
    <w:p w14:paraId="319FFECE" w14:textId="594ABD16" w:rsidR="001A5A74" w:rsidRPr="003B339A" w:rsidRDefault="001A5A74" w:rsidP="003B339A">
      <w:pPr>
        <w:pStyle w:val="ListParagraph"/>
        <w:numPr>
          <w:ilvl w:val="0"/>
          <w:numId w:val="4"/>
        </w:numPr>
        <w:rPr>
          <w:rFonts w:ascii="Arial" w:hAnsi="Arial" w:cs="Arial"/>
        </w:rPr>
      </w:pPr>
      <w:r w:rsidRPr="003B339A">
        <w:rPr>
          <w:rFonts w:ascii="Arial" w:hAnsi="Arial" w:cs="Arial"/>
        </w:rPr>
        <w:t xml:space="preserve">Post-stabilization services are considered </w:t>
      </w:r>
      <w:r w:rsidRPr="0090290A">
        <w:rPr>
          <w:rFonts w:ascii="Arial" w:hAnsi="Arial" w:cs="Arial"/>
          <w:i/>
          <w:iCs/>
        </w:rPr>
        <w:t>emergency services</w:t>
      </w:r>
      <w:r w:rsidRPr="003B339A">
        <w:rPr>
          <w:rFonts w:ascii="Arial" w:hAnsi="Arial" w:cs="Arial"/>
        </w:rPr>
        <w:t xml:space="preserve">, and are therefore subject to this prohibition, unless notice and consent requirements are met. </w:t>
      </w:r>
    </w:p>
    <w:p w14:paraId="6881C28A" w14:textId="77777777" w:rsidR="003461C0" w:rsidRDefault="003461C0" w:rsidP="003461C0">
      <w:pPr>
        <w:rPr>
          <w:rFonts w:ascii="Arial" w:hAnsi="Arial" w:cs="Arial"/>
          <w:b/>
          <w:bCs/>
        </w:rPr>
      </w:pPr>
    </w:p>
    <w:p w14:paraId="23B6311A" w14:textId="7B2C2760" w:rsidR="0010479B" w:rsidRPr="00447542" w:rsidRDefault="00C86A9C" w:rsidP="00081192">
      <w:pPr>
        <w:tabs>
          <w:tab w:val="left" w:pos="360"/>
          <w:tab w:val="left" w:pos="720"/>
        </w:tabs>
        <w:ind w:left="360" w:hanging="360"/>
        <w:rPr>
          <w:rFonts w:ascii="Arial" w:hAnsi="Arial" w:cs="Arial"/>
          <w:b/>
          <w:bCs/>
        </w:rPr>
      </w:pPr>
      <w:r>
        <w:rPr>
          <w:rFonts w:ascii="Arial" w:hAnsi="Arial" w:cs="Arial"/>
          <w:b/>
          <w:bCs/>
        </w:rPr>
        <w:t>2)</w:t>
      </w:r>
      <w:r w:rsidR="00140DB0">
        <w:rPr>
          <w:rFonts w:ascii="Arial" w:hAnsi="Arial" w:cs="Arial"/>
          <w:b/>
          <w:bCs/>
        </w:rPr>
        <w:tab/>
      </w:r>
      <w:r w:rsidR="008F2FA7">
        <w:rPr>
          <w:rFonts w:ascii="Arial" w:hAnsi="Arial" w:cs="Arial"/>
          <w:b/>
          <w:bCs/>
        </w:rPr>
        <w:t>Exceptions to no balance billing for out-of-network emergency services—notice and consent</w:t>
      </w:r>
    </w:p>
    <w:p w14:paraId="76B1009D" w14:textId="77777777" w:rsidR="0018649F" w:rsidRPr="00F05210" w:rsidRDefault="0018649F" w:rsidP="00F05210">
      <w:pPr>
        <w:rPr>
          <w:rFonts w:ascii="Arial" w:hAnsi="Arial" w:cs="Arial"/>
        </w:rPr>
      </w:pPr>
    </w:p>
    <w:p w14:paraId="48A30053" w14:textId="77777777" w:rsidR="00571FA0" w:rsidRDefault="008F4D8C" w:rsidP="00D96F4E">
      <w:pPr>
        <w:rPr>
          <w:rFonts w:ascii="Arial" w:hAnsi="Arial" w:cs="Arial"/>
          <w:i/>
          <w:iCs/>
        </w:rPr>
      </w:pPr>
      <w:r w:rsidRPr="008F4D8C">
        <w:rPr>
          <w:rFonts w:ascii="Arial" w:hAnsi="Arial" w:cs="Arial"/>
          <w:i/>
          <w:iCs/>
        </w:rPr>
        <w:t xml:space="preserve">Nonparticipating providers and facilities may balance bill for post-stabilization services only if </w:t>
      </w:r>
    </w:p>
    <w:p w14:paraId="6B58CBF1" w14:textId="0303ECE0" w:rsidR="002A1C94" w:rsidRPr="008F4D8C" w:rsidRDefault="008F4D8C" w:rsidP="00D96F4E">
      <w:pPr>
        <w:rPr>
          <w:rFonts w:ascii="Arial" w:hAnsi="Arial" w:cs="Arial"/>
          <w:i/>
          <w:iCs/>
        </w:rPr>
      </w:pPr>
      <w:r w:rsidRPr="008F4D8C">
        <w:rPr>
          <w:rFonts w:ascii="Arial" w:hAnsi="Arial" w:cs="Arial"/>
          <w:i/>
          <w:iCs/>
        </w:rPr>
        <w:t>the following conditions have been met:</w:t>
      </w:r>
    </w:p>
    <w:p w14:paraId="0639B0D7" w14:textId="77777777" w:rsidR="002A1C94" w:rsidRDefault="002A1C94" w:rsidP="00D96F4E">
      <w:pPr>
        <w:rPr>
          <w:rFonts w:ascii="Arial" w:hAnsi="Arial" w:cs="Arial"/>
        </w:rPr>
      </w:pPr>
    </w:p>
    <w:p w14:paraId="18E1109E" w14:textId="5AFFE303" w:rsidR="000D49B4" w:rsidRPr="000D49B4" w:rsidRDefault="000D49B4" w:rsidP="000D49B4">
      <w:pPr>
        <w:pStyle w:val="ListParagraph"/>
        <w:numPr>
          <w:ilvl w:val="0"/>
          <w:numId w:val="5"/>
        </w:numPr>
        <w:rPr>
          <w:rFonts w:ascii="Arial" w:hAnsi="Arial" w:cs="Arial"/>
        </w:rPr>
      </w:pPr>
      <w:r w:rsidRPr="2493D6B0">
        <w:rPr>
          <w:rFonts w:ascii="Arial" w:hAnsi="Arial" w:cs="Arial"/>
        </w:rPr>
        <w:t xml:space="preserve">The attending emergency physician or treating provider determines the enrollee: 1) </w:t>
      </w:r>
      <w:r w:rsidR="0072711D" w:rsidRPr="2493D6B0">
        <w:rPr>
          <w:rFonts w:ascii="Arial" w:hAnsi="Arial" w:cs="Arial"/>
        </w:rPr>
        <w:t>c</w:t>
      </w:r>
      <w:r w:rsidRPr="2493D6B0">
        <w:rPr>
          <w:rFonts w:ascii="Arial" w:hAnsi="Arial" w:cs="Arial"/>
        </w:rPr>
        <w:t xml:space="preserve">an travel using nonmedical transportation to an available </w:t>
      </w:r>
      <w:r w:rsidRPr="2493D6B0">
        <w:rPr>
          <w:rFonts w:ascii="Arial" w:hAnsi="Arial" w:cs="Arial"/>
          <w:i/>
          <w:iCs/>
        </w:rPr>
        <w:t xml:space="preserve">participating provider or </w:t>
      </w:r>
      <w:r w:rsidR="00255B83" w:rsidRPr="2493D6B0">
        <w:rPr>
          <w:rFonts w:ascii="Arial" w:hAnsi="Arial" w:cs="Arial"/>
          <w:i/>
          <w:iCs/>
        </w:rPr>
        <w:t xml:space="preserve">participating </w:t>
      </w:r>
      <w:r w:rsidR="00591855" w:rsidRPr="2493D6B0">
        <w:rPr>
          <w:rFonts w:ascii="Arial" w:hAnsi="Arial" w:cs="Arial"/>
          <w:i/>
          <w:iCs/>
        </w:rPr>
        <w:t xml:space="preserve">health care </w:t>
      </w:r>
      <w:r w:rsidRPr="2493D6B0">
        <w:rPr>
          <w:rFonts w:ascii="Arial" w:hAnsi="Arial" w:cs="Arial"/>
          <w:i/>
          <w:iCs/>
        </w:rPr>
        <w:t>facility</w:t>
      </w:r>
      <w:r w:rsidR="00045324" w:rsidRPr="00045324">
        <w:rPr>
          <w:rFonts w:ascii="Arial" w:hAnsi="Arial" w:cs="Arial"/>
          <w:i/>
          <w:iCs/>
        </w:rPr>
        <w:t xml:space="preserve"> </w:t>
      </w:r>
      <w:r w:rsidR="00045324" w:rsidRPr="00E55C91">
        <w:rPr>
          <w:rFonts w:ascii="Arial" w:hAnsi="Arial" w:cs="Arial"/>
        </w:rPr>
        <w:t>located within a reasonable travel distance, taking into account the individual's medical condition</w:t>
      </w:r>
      <w:r w:rsidRPr="2493D6B0">
        <w:rPr>
          <w:rFonts w:ascii="Arial" w:hAnsi="Arial" w:cs="Arial"/>
        </w:rPr>
        <w:t xml:space="preserve">; and 2) </w:t>
      </w:r>
      <w:r w:rsidR="0072711D" w:rsidRPr="2493D6B0">
        <w:rPr>
          <w:rFonts w:ascii="Arial" w:hAnsi="Arial" w:cs="Arial"/>
        </w:rPr>
        <w:t>i</w:t>
      </w:r>
      <w:r w:rsidRPr="2493D6B0">
        <w:rPr>
          <w:rFonts w:ascii="Arial" w:hAnsi="Arial" w:cs="Arial"/>
        </w:rPr>
        <w:t>s in a condition to receive notice and provide informed consent</w:t>
      </w:r>
      <w:r w:rsidR="00490739" w:rsidRPr="2493D6B0">
        <w:rPr>
          <w:rFonts w:ascii="Arial" w:hAnsi="Arial" w:cs="Arial"/>
        </w:rPr>
        <w:t xml:space="preserve">; </w:t>
      </w:r>
    </w:p>
    <w:p w14:paraId="0D4738F8" w14:textId="77777777" w:rsidR="000D49B4" w:rsidRPr="000D49B4" w:rsidRDefault="000D49B4" w:rsidP="000D49B4">
      <w:pPr>
        <w:rPr>
          <w:rFonts w:ascii="Arial" w:hAnsi="Arial" w:cs="Arial"/>
        </w:rPr>
      </w:pPr>
    </w:p>
    <w:p w14:paraId="03AC6FE2" w14:textId="1D530403" w:rsidR="00490739" w:rsidRPr="00C70A29" w:rsidRDefault="000D49B4" w:rsidP="000D49B4">
      <w:pPr>
        <w:pStyle w:val="ListParagraph"/>
        <w:numPr>
          <w:ilvl w:val="0"/>
          <w:numId w:val="5"/>
        </w:numPr>
        <w:rPr>
          <w:rFonts w:ascii="Arial" w:hAnsi="Arial" w:cs="Arial"/>
          <w:b/>
          <w:bCs/>
        </w:rPr>
      </w:pPr>
      <w:r w:rsidRPr="2493D6B0">
        <w:rPr>
          <w:rFonts w:ascii="Arial" w:hAnsi="Arial" w:cs="Arial"/>
        </w:rPr>
        <w:lastRenderedPageBreak/>
        <w:t xml:space="preserve">The </w:t>
      </w:r>
      <w:r w:rsidRPr="2493D6B0">
        <w:rPr>
          <w:rFonts w:ascii="Arial" w:hAnsi="Arial" w:cs="Arial"/>
          <w:i/>
          <w:iCs/>
        </w:rPr>
        <w:t xml:space="preserve">nonparticipating provider </w:t>
      </w:r>
      <w:r w:rsidRPr="2493D6B0">
        <w:rPr>
          <w:rFonts w:ascii="Arial" w:hAnsi="Arial" w:cs="Arial"/>
        </w:rPr>
        <w:t xml:space="preserve">or </w:t>
      </w:r>
      <w:r w:rsidR="00677E80" w:rsidRPr="2493D6B0">
        <w:rPr>
          <w:rFonts w:ascii="Arial" w:hAnsi="Arial" w:cs="Arial"/>
        </w:rPr>
        <w:t xml:space="preserve">non-participating </w:t>
      </w:r>
      <w:r w:rsidRPr="2493D6B0">
        <w:rPr>
          <w:rFonts w:ascii="Arial" w:hAnsi="Arial" w:cs="Arial"/>
        </w:rPr>
        <w:t xml:space="preserve">facility provides the beneficiary, enrollee or participant with a written notice and obtains consent </w:t>
      </w:r>
      <w:r w:rsidR="00462B7D" w:rsidRPr="2493D6B0">
        <w:rPr>
          <w:rFonts w:ascii="Arial" w:hAnsi="Arial" w:cs="Arial"/>
        </w:rPr>
        <w:t>as</w:t>
      </w:r>
      <w:r w:rsidRPr="2493D6B0">
        <w:rPr>
          <w:rFonts w:ascii="Arial" w:hAnsi="Arial" w:cs="Arial"/>
        </w:rPr>
        <w:t xml:space="preserve"> outlined in</w:t>
      </w:r>
      <w:r w:rsidR="00701133" w:rsidRPr="2493D6B0">
        <w:rPr>
          <w:rFonts w:ascii="Arial" w:hAnsi="Arial" w:cs="Arial"/>
        </w:rPr>
        <w:t xml:space="preserve"> the NSA’s</w:t>
      </w:r>
      <w:r w:rsidRPr="2493D6B0">
        <w:rPr>
          <w:rFonts w:ascii="Arial" w:hAnsi="Arial" w:cs="Arial"/>
        </w:rPr>
        <w:t xml:space="preserve"> regulation and guidance</w:t>
      </w:r>
      <w:r w:rsidR="00701133" w:rsidRPr="2493D6B0">
        <w:rPr>
          <w:rFonts w:ascii="Arial" w:hAnsi="Arial" w:cs="Arial"/>
        </w:rPr>
        <w:t>;</w:t>
      </w:r>
      <w:r w:rsidR="005F7C03" w:rsidRPr="2493D6B0">
        <w:rPr>
          <w:rFonts w:ascii="Arial" w:hAnsi="Arial" w:cs="Arial"/>
        </w:rPr>
        <w:t xml:space="preserve"> </w:t>
      </w:r>
      <w:r w:rsidR="005F7C03" w:rsidRPr="2493D6B0">
        <w:rPr>
          <w:rFonts w:ascii="Arial" w:hAnsi="Arial" w:cs="Arial"/>
          <w:b/>
          <w:bCs/>
        </w:rPr>
        <w:t>and</w:t>
      </w:r>
    </w:p>
    <w:p w14:paraId="094CE75A" w14:textId="77777777" w:rsidR="00490739" w:rsidRPr="00490739" w:rsidRDefault="00490739" w:rsidP="00490739">
      <w:pPr>
        <w:pStyle w:val="ListParagraph"/>
        <w:rPr>
          <w:rFonts w:ascii="Arial" w:hAnsi="Arial" w:cs="Arial"/>
        </w:rPr>
      </w:pPr>
    </w:p>
    <w:p w14:paraId="37396565" w14:textId="455734BF" w:rsidR="00701133" w:rsidRDefault="000D49B4" w:rsidP="000D49B4">
      <w:pPr>
        <w:pStyle w:val="ListParagraph"/>
        <w:numPr>
          <w:ilvl w:val="0"/>
          <w:numId w:val="5"/>
        </w:numPr>
        <w:rPr>
          <w:rFonts w:ascii="Arial" w:hAnsi="Arial" w:cs="Arial"/>
        </w:rPr>
      </w:pPr>
      <w:r w:rsidRPr="000D49B4">
        <w:rPr>
          <w:rFonts w:ascii="Arial" w:hAnsi="Arial" w:cs="Arial"/>
        </w:rPr>
        <w:t>The provider or facility satisfies any additional state law requirements</w:t>
      </w:r>
      <w:r w:rsidR="005F7C03">
        <w:rPr>
          <w:rFonts w:ascii="Arial" w:hAnsi="Arial" w:cs="Arial"/>
        </w:rPr>
        <w:t>.</w:t>
      </w:r>
      <w:r w:rsidR="00701133">
        <w:rPr>
          <w:rFonts w:ascii="Arial" w:hAnsi="Arial" w:cs="Arial"/>
        </w:rPr>
        <w:t xml:space="preserve"> </w:t>
      </w:r>
    </w:p>
    <w:p w14:paraId="2FF39960" w14:textId="77777777" w:rsidR="00701133" w:rsidRDefault="00701133" w:rsidP="00701133">
      <w:pPr>
        <w:pStyle w:val="ListParagraph"/>
        <w:rPr>
          <w:rFonts w:ascii="Arial" w:hAnsi="Arial" w:cs="Arial"/>
        </w:rPr>
      </w:pPr>
    </w:p>
    <w:p w14:paraId="05E65346" w14:textId="7FA63EA5" w:rsidR="0068586D" w:rsidRPr="00CA1F9B" w:rsidRDefault="005A5E08" w:rsidP="004830D8">
      <w:pPr>
        <w:tabs>
          <w:tab w:val="left" w:pos="360"/>
          <w:tab w:val="left" w:pos="720"/>
        </w:tabs>
        <w:rPr>
          <w:rFonts w:ascii="Arial" w:hAnsi="Arial" w:cs="Arial"/>
          <w:b/>
          <w:bCs/>
          <w:i/>
          <w:iCs/>
        </w:rPr>
      </w:pPr>
      <w:r>
        <w:rPr>
          <w:rFonts w:ascii="Arial" w:hAnsi="Arial" w:cs="Arial"/>
          <w:b/>
          <w:bCs/>
          <w:i/>
          <w:iCs/>
        </w:rPr>
        <w:t>Even if all of the conditions above are met</w:t>
      </w:r>
      <w:r w:rsidR="00CA1F9B" w:rsidRPr="00CA1F9B">
        <w:rPr>
          <w:rFonts w:ascii="Arial" w:hAnsi="Arial" w:cs="Arial"/>
          <w:b/>
          <w:bCs/>
          <w:i/>
          <w:iCs/>
        </w:rPr>
        <w:t>:</w:t>
      </w:r>
    </w:p>
    <w:p w14:paraId="6548D819" w14:textId="77777777" w:rsidR="00CA1F9B" w:rsidRDefault="00CA1F9B" w:rsidP="004830D8">
      <w:pPr>
        <w:tabs>
          <w:tab w:val="left" w:pos="360"/>
          <w:tab w:val="left" w:pos="720"/>
        </w:tabs>
        <w:rPr>
          <w:rFonts w:ascii="Arial" w:hAnsi="Arial" w:cs="Arial"/>
          <w:b/>
          <w:bCs/>
        </w:rPr>
      </w:pPr>
    </w:p>
    <w:p w14:paraId="7B6532C8" w14:textId="4A889722" w:rsidR="00EA36AD" w:rsidRPr="00EA36AD" w:rsidRDefault="009331E2" w:rsidP="00EA36AD">
      <w:pPr>
        <w:pStyle w:val="ListParagraph"/>
        <w:numPr>
          <w:ilvl w:val="0"/>
          <w:numId w:val="8"/>
        </w:numPr>
        <w:rPr>
          <w:rFonts w:ascii="Arial" w:hAnsi="Arial" w:cs="Arial"/>
        </w:rPr>
      </w:pPr>
      <w:r>
        <w:rPr>
          <w:rFonts w:ascii="Arial" w:hAnsi="Arial" w:cs="Arial"/>
        </w:rPr>
        <w:t>With respect to both emergency and non-emergency services, a</w:t>
      </w:r>
      <w:r w:rsidR="00EA36AD" w:rsidRPr="00EA36AD">
        <w:rPr>
          <w:rFonts w:ascii="Arial" w:hAnsi="Arial" w:cs="Arial"/>
        </w:rPr>
        <w:t xml:space="preserve"> provider or facility cannot balance bill for items or services furnished </w:t>
      </w:r>
      <w:r w:rsidR="00752CB2" w:rsidRPr="00EA36AD">
        <w:rPr>
          <w:rFonts w:ascii="Arial" w:hAnsi="Arial" w:cs="Arial"/>
        </w:rPr>
        <w:t>because of</w:t>
      </w:r>
      <w:r w:rsidR="00EA36AD" w:rsidRPr="00EA36AD">
        <w:rPr>
          <w:rFonts w:ascii="Arial" w:hAnsi="Arial" w:cs="Arial"/>
        </w:rPr>
        <w:t xml:space="preserve"> unforeseen, urgent medical needs that arise at the time an item or service is furnished, regardless of whether the nonparticipating provider or facility previously satisfied the notice and consent criteria. </w:t>
      </w:r>
    </w:p>
    <w:p w14:paraId="0D317122" w14:textId="77777777" w:rsidR="006B2BD4" w:rsidRDefault="006B2BD4" w:rsidP="006B2BD4">
      <w:pPr>
        <w:rPr>
          <w:rFonts w:ascii="Arial" w:hAnsi="Arial" w:cs="Arial"/>
        </w:rPr>
      </w:pPr>
    </w:p>
    <w:p w14:paraId="7F1C2277" w14:textId="60276124" w:rsidR="0068586D" w:rsidRDefault="004D70E2" w:rsidP="00412439">
      <w:pPr>
        <w:tabs>
          <w:tab w:val="left" w:pos="360"/>
          <w:tab w:val="left" w:pos="720"/>
        </w:tabs>
        <w:ind w:left="360" w:hanging="360"/>
        <w:rPr>
          <w:rFonts w:ascii="Arial" w:hAnsi="Arial" w:cs="Arial"/>
          <w:b/>
          <w:bCs/>
        </w:rPr>
      </w:pPr>
      <w:r>
        <w:rPr>
          <w:rFonts w:ascii="Arial" w:hAnsi="Arial" w:cs="Arial"/>
          <w:b/>
          <w:bCs/>
        </w:rPr>
        <w:t>3)</w:t>
      </w:r>
      <w:r>
        <w:rPr>
          <w:rFonts w:ascii="Arial" w:hAnsi="Arial" w:cs="Arial"/>
          <w:b/>
          <w:bCs/>
        </w:rPr>
        <w:tab/>
      </w:r>
      <w:r w:rsidRPr="004D70E2">
        <w:rPr>
          <w:rFonts w:ascii="Arial" w:hAnsi="Arial" w:cs="Arial"/>
          <w:b/>
          <w:bCs/>
        </w:rPr>
        <w:t>No balance billing for non-emergency services by nonparticipating providers at certain participating health care facilities</w:t>
      </w:r>
    </w:p>
    <w:p w14:paraId="54ACC8DF" w14:textId="77777777" w:rsidR="00157483" w:rsidRDefault="00157483" w:rsidP="004830D8">
      <w:pPr>
        <w:tabs>
          <w:tab w:val="left" w:pos="360"/>
          <w:tab w:val="left" w:pos="720"/>
        </w:tabs>
        <w:rPr>
          <w:rFonts w:ascii="Arial" w:hAnsi="Arial" w:cs="Arial"/>
          <w:b/>
          <w:bCs/>
        </w:rPr>
      </w:pPr>
    </w:p>
    <w:p w14:paraId="1E95BFA7" w14:textId="0C0E5D9F" w:rsidR="00157483" w:rsidRPr="00002357" w:rsidRDefault="00002357" w:rsidP="004830D8">
      <w:pPr>
        <w:tabs>
          <w:tab w:val="left" w:pos="360"/>
          <w:tab w:val="left" w:pos="720"/>
        </w:tabs>
        <w:rPr>
          <w:rFonts w:ascii="Arial" w:hAnsi="Arial" w:cs="Arial"/>
          <w:i/>
          <w:iCs/>
        </w:rPr>
      </w:pPr>
      <w:r w:rsidRPr="00002357">
        <w:rPr>
          <w:rFonts w:ascii="Arial" w:hAnsi="Arial" w:cs="Arial"/>
          <w:i/>
          <w:iCs/>
        </w:rPr>
        <w:t>Nonparticipating providers of non-emergency services at a participating health care facility:</w:t>
      </w:r>
    </w:p>
    <w:p w14:paraId="16294837" w14:textId="77777777" w:rsidR="00620CF2" w:rsidRDefault="00620CF2" w:rsidP="00620CF2">
      <w:pPr>
        <w:tabs>
          <w:tab w:val="left" w:pos="360"/>
          <w:tab w:val="left" w:pos="720"/>
        </w:tabs>
        <w:rPr>
          <w:rFonts w:ascii="Arial" w:hAnsi="Arial" w:cs="Arial"/>
        </w:rPr>
      </w:pPr>
    </w:p>
    <w:p w14:paraId="645A1595" w14:textId="25B4C907" w:rsidR="00292304" w:rsidRDefault="00620CF2" w:rsidP="00620CF2">
      <w:pPr>
        <w:pStyle w:val="ListParagraph"/>
        <w:numPr>
          <w:ilvl w:val="0"/>
          <w:numId w:val="8"/>
        </w:numPr>
        <w:tabs>
          <w:tab w:val="left" w:pos="360"/>
          <w:tab w:val="left" w:pos="720"/>
        </w:tabs>
        <w:rPr>
          <w:rFonts w:ascii="Arial" w:hAnsi="Arial" w:cs="Arial"/>
        </w:rPr>
      </w:pPr>
      <w:r w:rsidRPr="2493D6B0">
        <w:rPr>
          <w:rFonts w:ascii="Arial" w:hAnsi="Arial" w:cs="Arial"/>
        </w:rPr>
        <w:t>Cannot bill or hold liable enrollees in group health plans or group or individual health insurance coverage</w:t>
      </w:r>
      <w:r w:rsidR="00B93014">
        <w:rPr>
          <w:rFonts w:ascii="Arial" w:hAnsi="Arial" w:cs="Arial"/>
        </w:rPr>
        <w:t>, including FEHB plans,</w:t>
      </w:r>
      <w:r w:rsidRPr="2493D6B0">
        <w:rPr>
          <w:rFonts w:ascii="Arial" w:hAnsi="Arial" w:cs="Arial"/>
        </w:rPr>
        <w:t xml:space="preserve"> who received covered non-emergency services with respect to a visit at a participating health care facility </w:t>
      </w:r>
      <w:r w:rsidR="00057FE1">
        <w:rPr>
          <w:rFonts w:ascii="Arial" w:hAnsi="Arial" w:cs="Arial"/>
        </w:rPr>
        <w:t>from</w:t>
      </w:r>
      <w:r w:rsidRPr="2493D6B0">
        <w:rPr>
          <w:rFonts w:ascii="Arial" w:hAnsi="Arial" w:cs="Arial"/>
        </w:rPr>
        <w:t xml:space="preserve"> a nonparticipating provider for a payment amount greater than the in-network cost-sharing requirement for such services, unless notice and consent requirements are met. </w:t>
      </w:r>
    </w:p>
    <w:p w14:paraId="7FC40C23" w14:textId="77777777" w:rsidR="006663ED" w:rsidRPr="006663ED" w:rsidRDefault="006663ED" w:rsidP="006663ED">
      <w:pPr>
        <w:tabs>
          <w:tab w:val="left" w:pos="360"/>
          <w:tab w:val="left" w:pos="720"/>
        </w:tabs>
        <w:rPr>
          <w:rFonts w:ascii="Arial" w:hAnsi="Arial" w:cs="Arial"/>
        </w:rPr>
      </w:pPr>
    </w:p>
    <w:p w14:paraId="6941311B" w14:textId="09B47E26" w:rsidR="00620CF2" w:rsidRPr="00620CF2" w:rsidRDefault="00620CF2" w:rsidP="00620CF2">
      <w:pPr>
        <w:pStyle w:val="ListParagraph"/>
        <w:numPr>
          <w:ilvl w:val="0"/>
          <w:numId w:val="8"/>
        </w:numPr>
        <w:tabs>
          <w:tab w:val="left" w:pos="360"/>
          <w:tab w:val="left" w:pos="720"/>
        </w:tabs>
        <w:rPr>
          <w:rFonts w:ascii="Arial" w:hAnsi="Arial" w:cs="Arial"/>
        </w:rPr>
      </w:pPr>
      <w:r w:rsidRPr="00AE7CD7">
        <w:rPr>
          <w:rFonts w:ascii="Arial" w:hAnsi="Arial" w:cs="Arial"/>
          <w:b/>
          <w:bCs/>
          <w:i/>
          <w:iCs/>
        </w:rPr>
        <w:t>Note</w:t>
      </w:r>
      <w:r w:rsidR="000955CF" w:rsidRPr="00AE7CD7">
        <w:rPr>
          <w:rFonts w:ascii="Arial" w:hAnsi="Arial" w:cs="Arial"/>
          <w:b/>
          <w:bCs/>
          <w:i/>
          <w:iCs/>
        </w:rPr>
        <w:t>:</w:t>
      </w:r>
      <w:r w:rsidRPr="00620CF2">
        <w:rPr>
          <w:rFonts w:ascii="Arial" w:hAnsi="Arial" w:cs="Arial"/>
        </w:rPr>
        <w:t xml:space="preserve"> </w:t>
      </w:r>
      <w:r w:rsidR="000955CF">
        <w:rPr>
          <w:rFonts w:ascii="Arial" w:hAnsi="Arial" w:cs="Arial"/>
        </w:rPr>
        <w:t>The except</w:t>
      </w:r>
      <w:r w:rsidR="00AE7CD7">
        <w:rPr>
          <w:rFonts w:ascii="Arial" w:hAnsi="Arial" w:cs="Arial"/>
        </w:rPr>
        <w:t>ion</w:t>
      </w:r>
      <w:r w:rsidR="000955CF">
        <w:rPr>
          <w:rFonts w:ascii="Arial" w:hAnsi="Arial" w:cs="Arial"/>
        </w:rPr>
        <w:t xml:space="preserve"> for </w:t>
      </w:r>
      <w:r w:rsidRPr="00620CF2">
        <w:rPr>
          <w:rFonts w:ascii="Arial" w:hAnsi="Arial" w:cs="Arial"/>
        </w:rPr>
        <w:t>notice and consent requirements do</w:t>
      </w:r>
      <w:r w:rsidR="00AE7CD7">
        <w:rPr>
          <w:rFonts w:ascii="Arial" w:hAnsi="Arial" w:cs="Arial"/>
        </w:rPr>
        <w:t>es</w:t>
      </w:r>
      <w:r w:rsidRPr="00620CF2">
        <w:rPr>
          <w:rFonts w:ascii="Arial" w:hAnsi="Arial" w:cs="Arial"/>
        </w:rPr>
        <w:t xml:space="preserve"> not apply to the following list of ancillary services, for which the prohibition against balance billing remains applicable: </w:t>
      </w:r>
    </w:p>
    <w:p w14:paraId="2692AD3C" w14:textId="77777777" w:rsidR="0075471A" w:rsidRDefault="00620CF2" w:rsidP="0075471A">
      <w:pPr>
        <w:pStyle w:val="ListParagraph"/>
        <w:numPr>
          <w:ilvl w:val="0"/>
          <w:numId w:val="9"/>
        </w:numPr>
        <w:tabs>
          <w:tab w:val="left" w:pos="360"/>
          <w:tab w:val="left" w:pos="720"/>
        </w:tabs>
        <w:rPr>
          <w:rFonts w:ascii="Arial" w:hAnsi="Arial" w:cs="Arial"/>
        </w:rPr>
      </w:pPr>
      <w:r w:rsidRPr="0075471A">
        <w:rPr>
          <w:rFonts w:ascii="Arial" w:hAnsi="Arial" w:cs="Arial"/>
        </w:rPr>
        <w:t>Items and services related to emergency medicine, anesthesiology, pathology, radiology and neonatology;</w:t>
      </w:r>
    </w:p>
    <w:p w14:paraId="72191F49" w14:textId="6E63FFB6" w:rsidR="00620CF2" w:rsidRDefault="00DD4268" w:rsidP="00620CF2">
      <w:pPr>
        <w:pStyle w:val="ListParagraph"/>
        <w:numPr>
          <w:ilvl w:val="0"/>
          <w:numId w:val="9"/>
        </w:numPr>
        <w:tabs>
          <w:tab w:val="left" w:pos="360"/>
          <w:tab w:val="left" w:pos="720"/>
        </w:tabs>
        <w:rPr>
          <w:rFonts w:ascii="Arial" w:hAnsi="Arial" w:cs="Arial"/>
        </w:rPr>
      </w:pPr>
      <w:r w:rsidRPr="00DD4268">
        <w:rPr>
          <w:rFonts w:ascii="Arial" w:hAnsi="Arial" w:cs="Arial"/>
        </w:rPr>
        <w:t xml:space="preserve">Items </w:t>
      </w:r>
      <w:r w:rsidR="00620CF2" w:rsidRPr="00620CF2">
        <w:rPr>
          <w:rFonts w:ascii="Arial" w:hAnsi="Arial" w:cs="Arial"/>
        </w:rPr>
        <w:t xml:space="preserve">and services provided by assistant surgeons, hospitalists, and intensivists; </w:t>
      </w:r>
    </w:p>
    <w:p w14:paraId="48D21573" w14:textId="4DF08C2A" w:rsidR="00620CF2" w:rsidRDefault="00F369A0" w:rsidP="00620CF2">
      <w:pPr>
        <w:pStyle w:val="ListParagraph"/>
        <w:numPr>
          <w:ilvl w:val="0"/>
          <w:numId w:val="9"/>
        </w:numPr>
        <w:tabs>
          <w:tab w:val="left" w:pos="360"/>
          <w:tab w:val="left" w:pos="720"/>
        </w:tabs>
        <w:rPr>
          <w:rFonts w:ascii="Arial" w:hAnsi="Arial" w:cs="Arial"/>
        </w:rPr>
      </w:pPr>
      <w:r w:rsidRPr="00F369A0">
        <w:rPr>
          <w:rFonts w:ascii="Arial" w:hAnsi="Arial" w:cs="Arial"/>
        </w:rPr>
        <w:t xml:space="preserve">Diagnostic </w:t>
      </w:r>
      <w:r w:rsidR="00620CF2" w:rsidRPr="00620CF2">
        <w:rPr>
          <w:rFonts w:ascii="Arial" w:hAnsi="Arial" w:cs="Arial"/>
        </w:rPr>
        <w:t xml:space="preserve">services, including radiology and laboratory services; and </w:t>
      </w:r>
    </w:p>
    <w:p w14:paraId="3E8DC634" w14:textId="06E096CE" w:rsidR="00620CF2" w:rsidRPr="00620CF2" w:rsidRDefault="00534A05" w:rsidP="00620CF2">
      <w:pPr>
        <w:pStyle w:val="ListParagraph"/>
        <w:numPr>
          <w:ilvl w:val="0"/>
          <w:numId w:val="9"/>
        </w:numPr>
        <w:tabs>
          <w:tab w:val="left" w:pos="360"/>
          <w:tab w:val="left" w:pos="720"/>
        </w:tabs>
        <w:rPr>
          <w:rFonts w:ascii="Arial" w:hAnsi="Arial" w:cs="Arial"/>
        </w:rPr>
      </w:pPr>
      <w:r w:rsidRPr="00534A05">
        <w:rPr>
          <w:rFonts w:ascii="Arial" w:hAnsi="Arial" w:cs="Arial"/>
        </w:rPr>
        <w:t xml:space="preserve">Items </w:t>
      </w:r>
      <w:r w:rsidR="00620CF2" w:rsidRPr="00620CF2">
        <w:rPr>
          <w:rFonts w:ascii="Arial" w:hAnsi="Arial" w:cs="Arial"/>
        </w:rPr>
        <w:t xml:space="preserve">and services provided by a nonparticipating provider if there is no participating provider who can provide such item or service at such facility. </w:t>
      </w:r>
    </w:p>
    <w:p w14:paraId="5FF9822B" w14:textId="77777777" w:rsidR="00620CF2" w:rsidRPr="00620CF2" w:rsidRDefault="00620CF2" w:rsidP="00620CF2">
      <w:pPr>
        <w:tabs>
          <w:tab w:val="left" w:pos="360"/>
          <w:tab w:val="left" w:pos="720"/>
        </w:tabs>
        <w:rPr>
          <w:rFonts w:ascii="Arial" w:hAnsi="Arial" w:cs="Arial"/>
        </w:rPr>
      </w:pPr>
    </w:p>
    <w:p w14:paraId="0B0ACF87" w14:textId="1559C521" w:rsidR="00571FA0" w:rsidRDefault="00742AB8" w:rsidP="004830D8">
      <w:pPr>
        <w:tabs>
          <w:tab w:val="left" w:pos="360"/>
          <w:tab w:val="left" w:pos="720"/>
        </w:tabs>
        <w:rPr>
          <w:rFonts w:ascii="Arial" w:hAnsi="Arial" w:cs="Arial"/>
          <w:b/>
          <w:bCs/>
        </w:rPr>
      </w:pPr>
      <w:r>
        <w:rPr>
          <w:rFonts w:ascii="Arial" w:hAnsi="Arial" w:cs="Arial"/>
          <w:b/>
          <w:bCs/>
        </w:rPr>
        <w:t>4)</w:t>
      </w:r>
      <w:r>
        <w:rPr>
          <w:rFonts w:ascii="Arial" w:hAnsi="Arial" w:cs="Arial"/>
          <w:b/>
          <w:bCs/>
        </w:rPr>
        <w:tab/>
      </w:r>
      <w:r w:rsidR="00276759" w:rsidRPr="00276759">
        <w:rPr>
          <w:rFonts w:ascii="Arial" w:hAnsi="Arial" w:cs="Arial"/>
          <w:b/>
          <w:bCs/>
        </w:rPr>
        <w:t>Disclose patient protections against balance billing</w:t>
      </w:r>
    </w:p>
    <w:p w14:paraId="13EA2890" w14:textId="77777777" w:rsidR="00EA4455" w:rsidRDefault="00EA4455" w:rsidP="004830D8">
      <w:pPr>
        <w:tabs>
          <w:tab w:val="left" w:pos="360"/>
          <w:tab w:val="left" w:pos="720"/>
        </w:tabs>
        <w:rPr>
          <w:rFonts w:ascii="Arial" w:hAnsi="Arial" w:cs="Arial"/>
          <w:b/>
          <w:bCs/>
        </w:rPr>
      </w:pPr>
    </w:p>
    <w:p w14:paraId="2B296366" w14:textId="338557D9" w:rsidR="00A862B8" w:rsidRDefault="00EA4455" w:rsidP="00EA4455">
      <w:pPr>
        <w:pStyle w:val="ListParagraph"/>
        <w:numPr>
          <w:ilvl w:val="0"/>
          <w:numId w:val="10"/>
        </w:numPr>
        <w:tabs>
          <w:tab w:val="left" w:pos="360"/>
          <w:tab w:val="left" w:pos="720"/>
        </w:tabs>
        <w:rPr>
          <w:rFonts w:ascii="Arial" w:hAnsi="Arial" w:cs="Arial"/>
        </w:rPr>
      </w:pPr>
      <w:r w:rsidRPr="2493D6B0">
        <w:rPr>
          <w:rFonts w:ascii="Arial" w:hAnsi="Arial" w:cs="Arial"/>
        </w:rPr>
        <w:t>A provider or facility must disclose to an enrollee</w:t>
      </w:r>
      <w:r w:rsidR="001A3EEE" w:rsidRPr="2493D6B0">
        <w:rPr>
          <w:rFonts w:ascii="Arial" w:hAnsi="Arial" w:cs="Arial"/>
        </w:rPr>
        <w:t xml:space="preserve"> </w:t>
      </w:r>
      <w:r w:rsidRPr="2493D6B0">
        <w:rPr>
          <w:rFonts w:ascii="Arial" w:hAnsi="Arial" w:cs="Arial"/>
        </w:rPr>
        <w:t>information regarding federal and</w:t>
      </w:r>
      <w:r w:rsidR="00A862B8" w:rsidRPr="2493D6B0">
        <w:rPr>
          <w:rFonts w:ascii="Arial" w:hAnsi="Arial" w:cs="Arial"/>
        </w:rPr>
        <w:t>, if applicable,</w:t>
      </w:r>
      <w:r w:rsidRPr="2493D6B0">
        <w:rPr>
          <w:rFonts w:ascii="Arial" w:hAnsi="Arial" w:cs="Arial"/>
        </w:rPr>
        <w:t xml:space="preserve"> state balance billing protections and how to report violations. </w:t>
      </w:r>
    </w:p>
    <w:p w14:paraId="0890559F" w14:textId="77777777" w:rsidR="00A862B8" w:rsidRPr="00A862B8" w:rsidRDefault="00A862B8" w:rsidP="00A862B8">
      <w:pPr>
        <w:tabs>
          <w:tab w:val="left" w:pos="360"/>
          <w:tab w:val="left" w:pos="720"/>
        </w:tabs>
        <w:ind w:left="359"/>
        <w:rPr>
          <w:rFonts w:ascii="Arial" w:hAnsi="Arial" w:cs="Arial"/>
        </w:rPr>
      </w:pPr>
    </w:p>
    <w:p w14:paraId="6A6A28F2" w14:textId="51364D09" w:rsidR="00EA4455" w:rsidRDefault="00EA4455" w:rsidP="00EA4455">
      <w:pPr>
        <w:pStyle w:val="ListParagraph"/>
        <w:numPr>
          <w:ilvl w:val="0"/>
          <w:numId w:val="10"/>
        </w:numPr>
        <w:tabs>
          <w:tab w:val="left" w:pos="360"/>
          <w:tab w:val="left" w:pos="720"/>
        </w:tabs>
        <w:rPr>
          <w:rFonts w:ascii="Arial" w:hAnsi="Arial" w:cs="Arial"/>
        </w:rPr>
      </w:pPr>
      <w:r w:rsidRPr="2493D6B0">
        <w:rPr>
          <w:rFonts w:ascii="Arial" w:hAnsi="Arial" w:cs="Arial"/>
        </w:rPr>
        <w:t>Providers or facilities must post this information prominently at the location of the facility, post it on a public website</w:t>
      </w:r>
      <w:r w:rsidR="00E01D72" w:rsidRPr="2493D6B0">
        <w:rPr>
          <w:rFonts w:ascii="Arial" w:hAnsi="Arial" w:cs="Arial"/>
        </w:rPr>
        <w:t xml:space="preserve">, </w:t>
      </w:r>
      <w:r w:rsidRPr="2493D6B0">
        <w:rPr>
          <w:rFonts w:ascii="Arial" w:hAnsi="Arial" w:cs="Arial"/>
        </w:rPr>
        <w:t>if applicable</w:t>
      </w:r>
      <w:r w:rsidR="00E01D72" w:rsidRPr="2493D6B0">
        <w:rPr>
          <w:rFonts w:ascii="Arial" w:hAnsi="Arial" w:cs="Arial"/>
        </w:rPr>
        <w:t>,</w:t>
      </w:r>
      <w:r w:rsidRPr="2493D6B0">
        <w:rPr>
          <w:rFonts w:ascii="Arial" w:hAnsi="Arial" w:cs="Arial"/>
        </w:rPr>
        <w:t xml:space="preserve"> and provide it to the </w:t>
      </w:r>
      <w:r w:rsidR="00E01D72" w:rsidRPr="2493D6B0">
        <w:rPr>
          <w:rFonts w:ascii="Arial" w:hAnsi="Arial" w:cs="Arial"/>
        </w:rPr>
        <w:t xml:space="preserve">enrollee </w:t>
      </w:r>
      <w:r w:rsidRPr="2493D6B0">
        <w:rPr>
          <w:rFonts w:ascii="Arial" w:hAnsi="Arial" w:cs="Arial"/>
        </w:rPr>
        <w:t>in a timeframe and manner</w:t>
      </w:r>
      <w:r w:rsidR="009818D3" w:rsidRPr="2493D6B0">
        <w:rPr>
          <w:rFonts w:ascii="Arial" w:hAnsi="Arial" w:cs="Arial"/>
        </w:rPr>
        <w:t xml:space="preserve"> </w:t>
      </w:r>
      <w:r w:rsidR="00B024D1">
        <w:rPr>
          <w:rFonts w:ascii="Arial" w:hAnsi="Arial" w:cs="Arial"/>
        </w:rPr>
        <w:t>consistent with state and fe</w:t>
      </w:r>
      <w:r w:rsidR="00FD4CD4">
        <w:rPr>
          <w:rFonts w:ascii="Arial" w:hAnsi="Arial" w:cs="Arial"/>
        </w:rPr>
        <w:t>deral regulations</w:t>
      </w:r>
      <w:r w:rsidRPr="2493D6B0">
        <w:rPr>
          <w:rFonts w:ascii="Arial" w:hAnsi="Arial" w:cs="Arial"/>
        </w:rPr>
        <w:t>.</w:t>
      </w:r>
    </w:p>
    <w:p w14:paraId="12ABA51C" w14:textId="77777777" w:rsidR="000652AE" w:rsidRPr="000652AE" w:rsidRDefault="000652AE" w:rsidP="000652AE">
      <w:pPr>
        <w:pStyle w:val="ListParagraph"/>
        <w:rPr>
          <w:rFonts w:ascii="Arial" w:hAnsi="Arial" w:cs="Arial"/>
        </w:rPr>
      </w:pPr>
    </w:p>
    <w:p w14:paraId="44913BB0" w14:textId="6B93E264" w:rsidR="000652AE" w:rsidRPr="000652AE" w:rsidDel="005779E1" w:rsidRDefault="007A3E66" w:rsidP="007A3E66">
      <w:pPr>
        <w:tabs>
          <w:tab w:val="left" w:pos="360"/>
          <w:tab w:val="left" w:pos="720"/>
        </w:tabs>
        <w:ind w:left="360" w:hanging="360"/>
        <w:rPr>
          <w:rFonts w:ascii="Arial" w:hAnsi="Arial" w:cs="Arial"/>
          <w:b/>
          <w:bCs/>
        </w:rPr>
      </w:pPr>
      <w:r w:rsidDel="005779E1">
        <w:rPr>
          <w:rFonts w:ascii="Arial" w:hAnsi="Arial" w:cs="Arial"/>
          <w:b/>
          <w:bCs/>
        </w:rPr>
        <w:t>5)</w:t>
      </w:r>
      <w:r w:rsidDel="005779E1">
        <w:rPr>
          <w:rFonts w:ascii="Arial" w:hAnsi="Arial" w:cs="Arial"/>
          <w:b/>
          <w:bCs/>
        </w:rPr>
        <w:tab/>
      </w:r>
      <w:r w:rsidRPr="007A3E66" w:rsidDel="005779E1">
        <w:rPr>
          <w:rFonts w:ascii="Arial" w:hAnsi="Arial" w:cs="Arial"/>
          <w:b/>
          <w:bCs/>
        </w:rPr>
        <w:t>No balance billing for air ambulance services by nonparticipating air ambulance providers</w:t>
      </w:r>
    </w:p>
    <w:p w14:paraId="5706FC88" w14:textId="2360FFE7" w:rsidR="00742AB8" w:rsidDel="005779E1" w:rsidRDefault="00742AB8" w:rsidP="004830D8">
      <w:pPr>
        <w:tabs>
          <w:tab w:val="left" w:pos="360"/>
          <w:tab w:val="left" w:pos="720"/>
        </w:tabs>
        <w:rPr>
          <w:rFonts w:ascii="Arial" w:hAnsi="Arial" w:cs="Arial"/>
        </w:rPr>
      </w:pPr>
    </w:p>
    <w:p w14:paraId="10A85C8B" w14:textId="4D00F7F1" w:rsidR="00006D0A" w:rsidDel="005779E1" w:rsidRDefault="00EB6C30" w:rsidP="00EB6C30">
      <w:pPr>
        <w:pStyle w:val="ListParagraph"/>
        <w:numPr>
          <w:ilvl w:val="0"/>
          <w:numId w:val="11"/>
        </w:numPr>
        <w:tabs>
          <w:tab w:val="left" w:pos="360"/>
          <w:tab w:val="left" w:pos="720"/>
        </w:tabs>
        <w:rPr>
          <w:rFonts w:ascii="Arial" w:hAnsi="Arial" w:cs="Arial"/>
        </w:rPr>
      </w:pPr>
      <w:r w:rsidRPr="2493D6B0" w:rsidDel="005779E1">
        <w:rPr>
          <w:rFonts w:ascii="Arial" w:hAnsi="Arial" w:cs="Arial"/>
        </w:rPr>
        <w:lastRenderedPageBreak/>
        <w:t>Providers of air ambulance services cannot bill or hold liable enrollees who received covered air ambulance services from a nonparticipating air ambulance provider for a payment amount greater than the in-network cost-sharing requirement for such services.</w:t>
      </w:r>
    </w:p>
    <w:p w14:paraId="4A5B5F9F" w14:textId="4E43C13E" w:rsidR="00CC490E" w:rsidRDefault="00CC490E" w:rsidP="00CC490E">
      <w:pPr>
        <w:pStyle w:val="ListParagraph"/>
        <w:rPr>
          <w:rFonts w:ascii="Arial" w:hAnsi="Arial" w:cs="Arial"/>
        </w:rPr>
      </w:pPr>
    </w:p>
    <w:p w14:paraId="1C634FB1" w14:textId="3F64A0B3" w:rsidR="001607A4" w:rsidRDefault="00C172E9" w:rsidP="001607A4">
      <w:pPr>
        <w:tabs>
          <w:tab w:val="left" w:pos="360"/>
          <w:tab w:val="left" w:pos="720"/>
        </w:tabs>
        <w:ind w:left="360" w:hanging="360"/>
        <w:rPr>
          <w:rFonts w:ascii="Arial" w:hAnsi="Arial" w:cs="Arial"/>
          <w:b/>
          <w:bCs/>
        </w:rPr>
      </w:pPr>
      <w:r>
        <w:rPr>
          <w:rFonts w:ascii="Arial" w:hAnsi="Arial" w:cs="Arial"/>
          <w:b/>
          <w:bCs/>
        </w:rPr>
        <w:t>6</w:t>
      </w:r>
      <w:r w:rsidR="001607A4">
        <w:rPr>
          <w:rFonts w:ascii="Arial" w:hAnsi="Arial" w:cs="Arial"/>
          <w:b/>
          <w:bCs/>
        </w:rPr>
        <w:t>)</w:t>
      </w:r>
      <w:r w:rsidR="001607A4">
        <w:rPr>
          <w:rFonts w:ascii="Arial" w:hAnsi="Arial" w:cs="Arial"/>
          <w:b/>
          <w:bCs/>
        </w:rPr>
        <w:tab/>
      </w:r>
      <w:r w:rsidR="001117AB">
        <w:rPr>
          <w:rFonts w:ascii="Arial" w:hAnsi="Arial" w:cs="Arial"/>
          <w:b/>
          <w:bCs/>
        </w:rPr>
        <w:t>Provide</w:t>
      </w:r>
      <w:r w:rsidR="001607A4" w:rsidRPr="00AB7685">
        <w:rPr>
          <w:rFonts w:ascii="Arial" w:hAnsi="Arial" w:cs="Arial"/>
          <w:b/>
          <w:bCs/>
        </w:rPr>
        <w:t xml:space="preserve"> a good faith estimate of the expected charges in advance of scheduled services</w:t>
      </w:r>
      <w:r w:rsidR="004963AA">
        <w:rPr>
          <w:rFonts w:ascii="Arial" w:hAnsi="Arial" w:cs="Arial"/>
          <w:b/>
          <w:bCs/>
        </w:rPr>
        <w:t>,</w:t>
      </w:r>
      <w:r w:rsidR="00992051">
        <w:rPr>
          <w:rFonts w:ascii="Arial" w:hAnsi="Arial" w:cs="Arial"/>
          <w:b/>
          <w:bCs/>
        </w:rPr>
        <w:t xml:space="preserve"> or</w:t>
      </w:r>
      <w:r w:rsidR="004963AA">
        <w:rPr>
          <w:rFonts w:ascii="Arial" w:hAnsi="Arial" w:cs="Arial"/>
          <w:b/>
          <w:bCs/>
        </w:rPr>
        <w:t xml:space="preserve"> upon request, to uninsured or self-pay individuals. </w:t>
      </w:r>
    </w:p>
    <w:p w14:paraId="28F4F638" w14:textId="77777777" w:rsidR="001607A4" w:rsidRDefault="001607A4" w:rsidP="001607A4">
      <w:pPr>
        <w:tabs>
          <w:tab w:val="left" w:pos="360"/>
          <w:tab w:val="left" w:pos="720"/>
        </w:tabs>
        <w:ind w:left="360" w:hanging="360"/>
        <w:rPr>
          <w:rFonts w:ascii="Arial" w:hAnsi="Arial" w:cs="Arial"/>
          <w:b/>
          <w:bCs/>
        </w:rPr>
      </w:pPr>
    </w:p>
    <w:p w14:paraId="6D3090B8" w14:textId="191FC763" w:rsidR="005B38FB" w:rsidRDefault="00D462D8" w:rsidP="001607A4">
      <w:pPr>
        <w:pStyle w:val="ListParagraph"/>
        <w:numPr>
          <w:ilvl w:val="0"/>
          <w:numId w:val="11"/>
        </w:numPr>
        <w:tabs>
          <w:tab w:val="left" w:pos="360"/>
          <w:tab w:val="left" w:pos="720"/>
        </w:tabs>
        <w:rPr>
          <w:rFonts w:ascii="Arial" w:hAnsi="Arial" w:cs="Arial"/>
        </w:rPr>
      </w:pPr>
      <w:r>
        <w:rPr>
          <w:rFonts w:ascii="Arial" w:hAnsi="Arial" w:cs="Arial"/>
        </w:rPr>
        <w:t>U</w:t>
      </w:r>
      <w:r w:rsidR="001607A4" w:rsidRPr="009F464B">
        <w:rPr>
          <w:rFonts w:ascii="Arial" w:hAnsi="Arial" w:cs="Arial"/>
        </w:rPr>
        <w:t xml:space="preserve">pon an individual’s scheduling of items or services, or upon request, </w:t>
      </w:r>
      <w:r>
        <w:rPr>
          <w:rFonts w:ascii="Arial" w:hAnsi="Arial" w:cs="Arial"/>
        </w:rPr>
        <w:t xml:space="preserve">a provider or facility </w:t>
      </w:r>
      <w:r w:rsidR="001607A4">
        <w:rPr>
          <w:rFonts w:ascii="Arial" w:hAnsi="Arial" w:cs="Arial"/>
        </w:rPr>
        <w:t>must</w:t>
      </w:r>
      <w:r w:rsidR="001607A4" w:rsidRPr="009F464B">
        <w:rPr>
          <w:rFonts w:ascii="Arial" w:hAnsi="Arial" w:cs="Arial"/>
        </w:rPr>
        <w:t xml:space="preserve"> </w:t>
      </w:r>
      <w:r>
        <w:rPr>
          <w:rFonts w:ascii="Arial" w:hAnsi="Arial" w:cs="Arial"/>
        </w:rPr>
        <w:t>ask</w:t>
      </w:r>
      <w:r w:rsidR="001607A4" w:rsidRPr="009F464B">
        <w:rPr>
          <w:rFonts w:ascii="Arial" w:hAnsi="Arial" w:cs="Arial"/>
        </w:rPr>
        <w:t xml:space="preserve"> if the individual is enrolled in a health </w:t>
      </w:r>
      <w:r w:rsidR="001607A4">
        <w:rPr>
          <w:rFonts w:ascii="Arial" w:hAnsi="Arial" w:cs="Arial"/>
        </w:rPr>
        <w:t xml:space="preserve">benefit </w:t>
      </w:r>
      <w:r w:rsidR="001607A4" w:rsidRPr="009F464B">
        <w:rPr>
          <w:rFonts w:ascii="Arial" w:hAnsi="Arial" w:cs="Arial"/>
        </w:rPr>
        <w:t>plan or health insurance coverage</w:t>
      </w:r>
      <w:r>
        <w:rPr>
          <w:rFonts w:ascii="Arial" w:hAnsi="Arial" w:cs="Arial"/>
        </w:rPr>
        <w:t>.</w:t>
      </w:r>
    </w:p>
    <w:p w14:paraId="7330E093" w14:textId="77777777" w:rsidR="00992051" w:rsidRPr="00992051" w:rsidRDefault="00992051" w:rsidP="00992051">
      <w:pPr>
        <w:tabs>
          <w:tab w:val="left" w:pos="360"/>
          <w:tab w:val="left" w:pos="720"/>
        </w:tabs>
        <w:rPr>
          <w:rFonts w:ascii="Arial" w:hAnsi="Arial" w:cs="Arial"/>
        </w:rPr>
      </w:pPr>
    </w:p>
    <w:p w14:paraId="0FB8BA2F" w14:textId="48E1F64A" w:rsidR="001607A4" w:rsidRDefault="00F109C1" w:rsidP="00C9001D">
      <w:pPr>
        <w:pStyle w:val="ListParagraph"/>
        <w:numPr>
          <w:ilvl w:val="0"/>
          <w:numId w:val="11"/>
        </w:numPr>
        <w:tabs>
          <w:tab w:val="left" w:pos="360"/>
          <w:tab w:val="left" w:pos="720"/>
        </w:tabs>
        <w:rPr>
          <w:rFonts w:ascii="Arial" w:hAnsi="Arial" w:cs="Arial"/>
        </w:rPr>
      </w:pPr>
      <w:r w:rsidRPr="00296EAB">
        <w:rPr>
          <w:rFonts w:ascii="Arial" w:hAnsi="Arial" w:cs="Arial"/>
        </w:rPr>
        <w:t xml:space="preserve">For individuals without health insurance coverage or individuals who do not plan to file a claim for the item or service, </w:t>
      </w:r>
      <w:r w:rsidR="005D7689">
        <w:rPr>
          <w:rFonts w:ascii="Arial" w:hAnsi="Arial" w:cs="Arial"/>
        </w:rPr>
        <w:t xml:space="preserve">starting Jan. 1, 2022, </w:t>
      </w:r>
      <w:r w:rsidRPr="00296EAB">
        <w:rPr>
          <w:rFonts w:ascii="Arial" w:hAnsi="Arial" w:cs="Arial"/>
        </w:rPr>
        <w:t>the provider or facility must</w:t>
      </w:r>
      <w:r w:rsidR="002A460C">
        <w:rPr>
          <w:rFonts w:ascii="Arial" w:hAnsi="Arial" w:cs="Arial"/>
        </w:rPr>
        <w:t xml:space="preserve"> give</w:t>
      </w:r>
      <w:r w:rsidR="00F60C21" w:rsidRPr="00F60C21">
        <w:rPr>
          <w:rFonts w:ascii="Arial" w:hAnsi="Arial" w:cs="Arial"/>
        </w:rPr>
        <w:t xml:space="preserve"> the individual a good faith estimate of the expected charges for furnishing the scheduled item or service and any items or services reasonably expected to be provided in conjunction with those items and services, including those provided by another provider or facility</w:t>
      </w:r>
      <w:r w:rsidRPr="00296EAB">
        <w:rPr>
          <w:rFonts w:ascii="Arial" w:hAnsi="Arial" w:cs="Arial"/>
        </w:rPr>
        <w:t>.</w:t>
      </w:r>
      <w:r w:rsidR="00296EAB">
        <w:rPr>
          <w:rFonts w:ascii="Arial" w:hAnsi="Arial" w:cs="Arial"/>
        </w:rPr>
        <w:t xml:space="preserve"> </w:t>
      </w:r>
      <w:r w:rsidR="001607A4" w:rsidRPr="00296EAB">
        <w:rPr>
          <w:rFonts w:ascii="Arial" w:hAnsi="Arial" w:cs="Arial"/>
        </w:rPr>
        <w:t>In addition, the good faith estimate</w:t>
      </w:r>
      <w:r w:rsidR="00296EAB">
        <w:rPr>
          <w:rFonts w:ascii="Arial" w:hAnsi="Arial" w:cs="Arial"/>
        </w:rPr>
        <w:t xml:space="preserve"> provided directly to these individuals</w:t>
      </w:r>
      <w:r w:rsidR="001607A4" w:rsidRPr="00296EAB">
        <w:rPr>
          <w:rFonts w:ascii="Arial" w:hAnsi="Arial" w:cs="Arial"/>
        </w:rPr>
        <w:t xml:space="preserve"> must include information related to the patient-provider dispute resolution process</w:t>
      </w:r>
      <w:r w:rsidR="000E4408" w:rsidRPr="00296EAB">
        <w:rPr>
          <w:rFonts w:ascii="Arial" w:hAnsi="Arial" w:cs="Arial"/>
        </w:rPr>
        <w:t xml:space="preserve"> that is used to determine the appropriate payment amount when </w:t>
      </w:r>
      <w:r w:rsidR="00DC6616">
        <w:rPr>
          <w:rFonts w:ascii="Arial" w:hAnsi="Arial" w:cs="Arial"/>
        </w:rPr>
        <w:t>the difference between the</w:t>
      </w:r>
      <w:r w:rsidR="00202BA3" w:rsidRPr="00296EAB">
        <w:rPr>
          <w:rFonts w:ascii="Arial" w:hAnsi="Arial" w:cs="Arial"/>
        </w:rPr>
        <w:t xml:space="preserve"> good faith estimate</w:t>
      </w:r>
      <w:r w:rsidR="003B54E2">
        <w:rPr>
          <w:rFonts w:ascii="Arial" w:hAnsi="Arial" w:cs="Arial"/>
        </w:rPr>
        <w:t xml:space="preserve"> provided</w:t>
      </w:r>
      <w:r w:rsidR="00202BA3" w:rsidRPr="00296EAB">
        <w:rPr>
          <w:rFonts w:ascii="Arial" w:hAnsi="Arial" w:cs="Arial"/>
        </w:rPr>
        <w:t xml:space="preserve"> </w:t>
      </w:r>
      <w:r w:rsidR="0082736F" w:rsidRPr="00296EAB">
        <w:rPr>
          <w:rFonts w:ascii="Arial" w:hAnsi="Arial" w:cs="Arial"/>
        </w:rPr>
        <w:t xml:space="preserve">and </w:t>
      </w:r>
      <w:r w:rsidR="00DC6616">
        <w:rPr>
          <w:rFonts w:ascii="Arial" w:hAnsi="Arial" w:cs="Arial"/>
        </w:rPr>
        <w:t xml:space="preserve">a bill the individual receives following the provision of the item or service </w:t>
      </w:r>
      <w:r w:rsidR="0065517C" w:rsidRPr="00296EAB">
        <w:rPr>
          <w:rFonts w:ascii="Arial" w:hAnsi="Arial" w:cs="Arial"/>
        </w:rPr>
        <w:t>satisfies</w:t>
      </w:r>
      <w:r w:rsidR="0082736F" w:rsidRPr="00296EAB">
        <w:rPr>
          <w:rFonts w:ascii="Arial" w:hAnsi="Arial" w:cs="Arial"/>
        </w:rPr>
        <w:t xml:space="preserve"> the dollar threshold</w:t>
      </w:r>
      <w:r w:rsidR="002456B1">
        <w:rPr>
          <w:rFonts w:ascii="Arial" w:hAnsi="Arial" w:cs="Arial"/>
        </w:rPr>
        <w:t xml:space="preserve"> </w:t>
      </w:r>
      <w:r w:rsidR="00325619">
        <w:rPr>
          <w:rFonts w:ascii="Arial" w:hAnsi="Arial" w:cs="Arial"/>
        </w:rPr>
        <w:t xml:space="preserve">[established in federal regulation or for those states that have a </w:t>
      </w:r>
      <w:r w:rsidR="006B018C">
        <w:rPr>
          <w:rFonts w:ascii="Arial" w:hAnsi="Arial" w:cs="Arial"/>
        </w:rPr>
        <w:t xml:space="preserve">balance billing law, the </w:t>
      </w:r>
      <w:r w:rsidR="00DD327A">
        <w:rPr>
          <w:rFonts w:ascii="Arial" w:hAnsi="Arial" w:cs="Arial"/>
        </w:rPr>
        <w:t xml:space="preserve">dollar threshold </w:t>
      </w:r>
      <w:r w:rsidR="006B018C">
        <w:rPr>
          <w:rFonts w:ascii="Arial" w:hAnsi="Arial" w:cs="Arial"/>
        </w:rPr>
        <w:t xml:space="preserve">amount and payment methodology found in that state law or regulation] </w:t>
      </w:r>
      <w:r w:rsidR="002456B1">
        <w:rPr>
          <w:rFonts w:ascii="Arial" w:hAnsi="Arial" w:cs="Arial"/>
        </w:rPr>
        <w:t>to be eligible to use the process</w:t>
      </w:r>
      <w:r w:rsidR="000A2D60" w:rsidRPr="00296EAB">
        <w:rPr>
          <w:rFonts w:ascii="Arial" w:hAnsi="Arial" w:cs="Arial"/>
        </w:rPr>
        <w:t>.</w:t>
      </w:r>
    </w:p>
    <w:p w14:paraId="7F511CCD" w14:textId="77777777" w:rsidR="00AB7E43" w:rsidRPr="00AB7E43" w:rsidRDefault="00AB7E43" w:rsidP="00AB7E43">
      <w:pPr>
        <w:tabs>
          <w:tab w:val="left" w:pos="360"/>
          <w:tab w:val="left" w:pos="720"/>
        </w:tabs>
        <w:rPr>
          <w:rFonts w:ascii="Arial" w:hAnsi="Arial" w:cs="Arial"/>
        </w:rPr>
      </w:pPr>
    </w:p>
    <w:p w14:paraId="03491AE6" w14:textId="1A9E546E" w:rsidR="00AB7E43" w:rsidRDefault="006A0268" w:rsidP="00AB7E43">
      <w:pPr>
        <w:pStyle w:val="ListParagraph"/>
        <w:numPr>
          <w:ilvl w:val="0"/>
          <w:numId w:val="11"/>
        </w:numPr>
        <w:rPr>
          <w:rFonts w:ascii="Arial" w:hAnsi="Arial" w:cs="Arial"/>
        </w:rPr>
      </w:pPr>
      <w:r>
        <w:rPr>
          <w:rFonts w:ascii="Arial" w:hAnsi="Arial" w:cs="Arial"/>
        </w:rPr>
        <w:t>For</w:t>
      </w:r>
      <w:r w:rsidR="00AB7E43" w:rsidRPr="00AB7E43">
        <w:rPr>
          <w:rFonts w:ascii="Arial" w:hAnsi="Arial" w:cs="Arial"/>
        </w:rPr>
        <w:t xml:space="preserve"> individual</w:t>
      </w:r>
      <w:r>
        <w:rPr>
          <w:rFonts w:ascii="Arial" w:hAnsi="Arial" w:cs="Arial"/>
        </w:rPr>
        <w:t>s</w:t>
      </w:r>
      <w:r w:rsidR="00AB7E43" w:rsidRPr="00AB7E43">
        <w:rPr>
          <w:rFonts w:ascii="Arial" w:hAnsi="Arial" w:cs="Arial"/>
        </w:rPr>
        <w:t xml:space="preserve"> </w:t>
      </w:r>
      <w:r w:rsidR="002E49CD">
        <w:rPr>
          <w:rFonts w:ascii="Arial" w:hAnsi="Arial" w:cs="Arial"/>
        </w:rPr>
        <w:t xml:space="preserve">with health insurance </w:t>
      </w:r>
      <w:r w:rsidR="00AB7E43" w:rsidRPr="00AB7E43">
        <w:rPr>
          <w:rFonts w:ascii="Arial" w:hAnsi="Arial" w:cs="Arial"/>
        </w:rPr>
        <w:t xml:space="preserve">coverage and </w:t>
      </w:r>
      <w:r w:rsidR="002E49CD">
        <w:rPr>
          <w:rFonts w:ascii="Arial" w:hAnsi="Arial" w:cs="Arial"/>
        </w:rPr>
        <w:t xml:space="preserve">who </w:t>
      </w:r>
      <w:r w:rsidR="00AB7E43" w:rsidRPr="00AB7E43">
        <w:rPr>
          <w:rFonts w:ascii="Arial" w:hAnsi="Arial" w:cs="Arial"/>
        </w:rPr>
        <w:t xml:space="preserve">plan to submit a claim for the item or service to the plan or issuer, </w:t>
      </w:r>
      <w:r w:rsidR="00C9313E">
        <w:rPr>
          <w:rFonts w:ascii="Arial" w:hAnsi="Arial" w:cs="Arial"/>
        </w:rPr>
        <w:t xml:space="preserve">once federal regulations are finalized, </w:t>
      </w:r>
      <w:r w:rsidR="00AB7E43" w:rsidRPr="00AB7E43">
        <w:rPr>
          <w:rFonts w:ascii="Arial" w:hAnsi="Arial" w:cs="Arial"/>
        </w:rPr>
        <w:t xml:space="preserve">the provider or facility must provide to the individual’s plan or issuer a good faith estimate of the expected charges for furnishing the scheduled item or service and any items or services reasonably expected to be provided in conjunction with those items and services, including those provided by another provider or facility, with the expected billing and diagnostic codes for these items and services. </w:t>
      </w:r>
    </w:p>
    <w:p w14:paraId="5E577B80" w14:textId="77777777" w:rsidR="000A2D60" w:rsidRDefault="000A2D60" w:rsidP="00197898">
      <w:pPr>
        <w:pStyle w:val="ListParagraph"/>
        <w:rPr>
          <w:rFonts w:ascii="Arial" w:hAnsi="Arial" w:cs="Arial"/>
        </w:rPr>
      </w:pPr>
    </w:p>
    <w:p w14:paraId="42EAFD00" w14:textId="55C8714B" w:rsidR="005B6F27" w:rsidRPr="00DA1CE8" w:rsidRDefault="00C172E9" w:rsidP="00F568AE">
      <w:pPr>
        <w:tabs>
          <w:tab w:val="left" w:pos="360"/>
          <w:tab w:val="left" w:pos="720"/>
        </w:tabs>
        <w:ind w:left="360" w:hanging="360"/>
        <w:rPr>
          <w:rFonts w:ascii="Arial" w:hAnsi="Arial" w:cs="Arial"/>
          <w:b/>
          <w:bCs/>
        </w:rPr>
      </w:pPr>
      <w:r>
        <w:rPr>
          <w:rFonts w:ascii="Arial" w:hAnsi="Arial" w:cs="Arial"/>
          <w:b/>
          <w:bCs/>
        </w:rPr>
        <w:t>7</w:t>
      </w:r>
      <w:r w:rsidR="00302028" w:rsidRPr="2493D6B0">
        <w:rPr>
          <w:rFonts w:ascii="Arial" w:hAnsi="Arial" w:cs="Arial"/>
          <w:b/>
          <w:bCs/>
        </w:rPr>
        <w:t>)</w:t>
      </w:r>
      <w:r w:rsidR="004843C2">
        <w:tab/>
      </w:r>
      <w:r w:rsidR="00F568AE">
        <w:rPr>
          <w:rFonts w:ascii="Arial" w:hAnsi="Arial" w:cs="Arial"/>
          <w:b/>
          <w:bCs/>
        </w:rPr>
        <w:t>Submit accurate information for</w:t>
      </w:r>
      <w:r w:rsidR="00DA1CE8" w:rsidRPr="2493D6B0">
        <w:rPr>
          <w:rFonts w:ascii="Arial" w:hAnsi="Arial" w:cs="Arial"/>
          <w:b/>
          <w:bCs/>
        </w:rPr>
        <w:t xml:space="preserve"> provider directories and reimburse enrollees for errors</w:t>
      </w:r>
    </w:p>
    <w:p w14:paraId="20C4EA60" w14:textId="77777777" w:rsidR="005B6F27" w:rsidRDefault="005B6F27" w:rsidP="004830D8">
      <w:pPr>
        <w:tabs>
          <w:tab w:val="left" w:pos="360"/>
          <w:tab w:val="left" w:pos="720"/>
        </w:tabs>
        <w:rPr>
          <w:rFonts w:ascii="Arial" w:hAnsi="Arial" w:cs="Arial"/>
        </w:rPr>
      </w:pPr>
    </w:p>
    <w:p w14:paraId="376B9689" w14:textId="6CE74434" w:rsidR="00302028" w:rsidRPr="00E7463F" w:rsidRDefault="00606FA8" w:rsidP="004830D8">
      <w:pPr>
        <w:tabs>
          <w:tab w:val="left" w:pos="360"/>
          <w:tab w:val="left" w:pos="720"/>
        </w:tabs>
        <w:rPr>
          <w:rFonts w:ascii="Arial" w:hAnsi="Arial" w:cs="Arial"/>
        </w:rPr>
      </w:pPr>
      <w:r w:rsidRPr="2493D6B0">
        <w:rPr>
          <w:rFonts w:ascii="Arial" w:hAnsi="Arial" w:cs="Arial"/>
        </w:rPr>
        <w:t xml:space="preserve">Any health care provider or health care facility that has or has had a contractual relationship with a </w:t>
      </w:r>
      <w:r w:rsidR="00FE414B" w:rsidRPr="2493D6B0">
        <w:rPr>
          <w:rFonts w:ascii="Arial" w:hAnsi="Arial" w:cs="Arial"/>
        </w:rPr>
        <w:t xml:space="preserve">health benefit </w:t>
      </w:r>
      <w:r w:rsidRPr="2493D6B0">
        <w:rPr>
          <w:rFonts w:ascii="Arial" w:hAnsi="Arial" w:cs="Arial"/>
        </w:rPr>
        <w:t>plan or</w:t>
      </w:r>
      <w:r w:rsidR="00FE414B" w:rsidRPr="2493D6B0">
        <w:rPr>
          <w:rFonts w:ascii="Arial" w:hAnsi="Arial" w:cs="Arial"/>
        </w:rPr>
        <w:t xml:space="preserve"> health insurance</w:t>
      </w:r>
      <w:r w:rsidRPr="2493D6B0">
        <w:rPr>
          <w:rFonts w:ascii="Arial" w:hAnsi="Arial" w:cs="Arial"/>
        </w:rPr>
        <w:t xml:space="preserve"> issuer to provide items or services under such plan or insurance coverage</w:t>
      </w:r>
      <w:r w:rsidR="00FE414B" w:rsidRPr="2493D6B0">
        <w:rPr>
          <w:rFonts w:ascii="Arial" w:hAnsi="Arial" w:cs="Arial"/>
        </w:rPr>
        <w:t xml:space="preserve"> must</w:t>
      </w:r>
      <w:r w:rsidRPr="2493D6B0">
        <w:rPr>
          <w:rFonts w:ascii="Arial" w:hAnsi="Arial" w:cs="Arial"/>
        </w:rPr>
        <w:t>:</w:t>
      </w:r>
    </w:p>
    <w:p w14:paraId="57614092" w14:textId="77777777" w:rsidR="001449BB" w:rsidRDefault="001449BB" w:rsidP="004830D8">
      <w:pPr>
        <w:tabs>
          <w:tab w:val="left" w:pos="360"/>
          <w:tab w:val="left" w:pos="720"/>
        </w:tabs>
        <w:rPr>
          <w:rFonts w:ascii="Arial" w:hAnsi="Arial" w:cs="Arial"/>
          <w:i/>
          <w:iCs/>
        </w:rPr>
      </w:pPr>
    </w:p>
    <w:p w14:paraId="7AF10CF1" w14:textId="4F4BBCC0" w:rsidR="00777489" w:rsidRDefault="00DA48CD" w:rsidP="00777489">
      <w:pPr>
        <w:pStyle w:val="ListParagraph"/>
        <w:numPr>
          <w:ilvl w:val="0"/>
          <w:numId w:val="12"/>
        </w:numPr>
        <w:tabs>
          <w:tab w:val="left" w:pos="360"/>
          <w:tab w:val="left" w:pos="720"/>
        </w:tabs>
        <w:rPr>
          <w:rFonts w:ascii="Arial" w:hAnsi="Arial" w:cs="Arial"/>
        </w:rPr>
      </w:pPr>
      <w:r w:rsidRPr="005B7900">
        <w:rPr>
          <w:rFonts w:ascii="Arial" w:hAnsi="Arial" w:cs="Arial"/>
        </w:rPr>
        <w:t>Submit provider directory information to a plan or issuer, at a minimum:</w:t>
      </w:r>
      <w:r w:rsidR="00FE414B" w:rsidRPr="005B7900">
        <w:rPr>
          <w:rFonts w:ascii="Arial" w:hAnsi="Arial" w:cs="Arial"/>
        </w:rPr>
        <w:t xml:space="preserve"> a</w:t>
      </w:r>
      <w:r w:rsidRPr="00DA48CD">
        <w:rPr>
          <w:rFonts w:ascii="Arial" w:hAnsi="Arial" w:cs="Arial"/>
        </w:rPr>
        <w:t xml:space="preserve">) </w:t>
      </w:r>
      <w:r w:rsidR="00FE414B" w:rsidRPr="005B7900">
        <w:rPr>
          <w:rFonts w:ascii="Arial" w:hAnsi="Arial" w:cs="Arial"/>
        </w:rPr>
        <w:t>a</w:t>
      </w:r>
      <w:r w:rsidRPr="00DA48CD">
        <w:rPr>
          <w:rFonts w:ascii="Arial" w:hAnsi="Arial" w:cs="Arial"/>
        </w:rPr>
        <w:t xml:space="preserve">t the beginning of the network agreement with a plan or issuer, </w:t>
      </w:r>
      <w:r w:rsidR="00FE414B" w:rsidRPr="005B7900">
        <w:rPr>
          <w:rFonts w:ascii="Arial" w:hAnsi="Arial" w:cs="Arial"/>
        </w:rPr>
        <w:t>b)</w:t>
      </w:r>
      <w:r w:rsidR="005B7900" w:rsidRPr="005B7900">
        <w:rPr>
          <w:rFonts w:ascii="Arial" w:hAnsi="Arial" w:cs="Arial"/>
        </w:rPr>
        <w:t xml:space="preserve"> a</w:t>
      </w:r>
      <w:r w:rsidRPr="00DA48CD">
        <w:rPr>
          <w:rFonts w:ascii="Arial" w:hAnsi="Arial" w:cs="Arial"/>
        </w:rPr>
        <w:t>t the time of termination of a network agreement with a plan or issuer</w:t>
      </w:r>
      <w:r w:rsidR="005B7900" w:rsidRPr="005B7900">
        <w:rPr>
          <w:rFonts w:ascii="Arial" w:hAnsi="Arial" w:cs="Arial"/>
        </w:rPr>
        <w:t xml:space="preserve">; c) </w:t>
      </w:r>
      <w:r w:rsidR="005B7900">
        <w:rPr>
          <w:rFonts w:ascii="Arial" w:hAnsi="Arial" w:cs="Arial"/>
        </w:rPr>
        <w:t>w</w:t>
      </w:r>
      <w:r w:rsidRPr="00DA48CD">
        <w:rPr>
          <w:rFonts w:ascii="Arial" w:hAnsi="Arial" w:cs="Arial"/>
        </w:rPr>
        <w:t>hen there are material changes to the content of the provider directory information of the provider or facility</w:t>
      </w:r>
      <w:r w:rsidR="005B7900">
        <w:rPr>
          <w:rFonts w:ascii="Arial" w:hAnsi="Arial" w:cs="Arial"/>
        </w:rPr>
        <w:t xml:space="preserve">; </w:t>
      </w:r>
      <w:r w:rsidR="00104A29">
        <w:rPr>
          <w:rFonts w:ascii="Arial" w:hAnsi="Arial" w:cs="Arial"/>
        </w:rPr>
        <w:t xml:space="preserve">d) upon request by the plan or issuer; and e) at any other time determined appropriate by the provider, </w:t>
      </w:r>
      <w:r w:rsidR="004C4231">
        <w:rPr>
          <w:rFonts w:ascii="Arial" w:hAnsi="Arial" w:cs="Arial"/>
        </w:rPr>
        <w:t>facility or the U.S. Department of Health and Human Services (HHS).</w:t>
      </w:r>
    </w:p>
    <w:p w14:paraId="18A89FD0" w14:textId="77777777" w:rsidR="00777489" w:rsidRPr="00197898" w:rsidRDefault="00777489" w:rsidP="00777489">
      <w:pPr>
        <w:tabs>
          <w:tab w:val="left" w:pos="360"/>
          <w:tab w:val="left" w:pos="720"/>
        </w:tabs>
        <w:rPr>
          <w:rFonts w:ascii="Arial" w:hAnsi="Arial" w:cs="Arial"/>
        </w:rPr>
      </w:pPr>
    </w:p>
    <w:p w14:paraId="67051CC5" w14:textId="2B67870C" w:rsidR="00DA48CD" w:rsidRDefault="00384C88" w:rsidP="00DA48CD">
      <w:pPr>
        <w:pStyle w:val="ListParagraph"/>
        <w:numPr>
          <w:ilvl w:val="0"/>
          <w:numId w:val="12"/>
        </w:numPr>
        <w:tabs>
          <w:tab w:val="left" w:pos="360"/>
          <w:tab w:val="left" w:pos="720"/>
        </w:tabs>
        <w:rPr>
          <w:rFonts w:ascii="Arial" w:hAnsi="Arial" w:cs="Arial"/>
        </w:rPr>
      </w:pPr>
      <w:r>
        <w:rPr>
          <w:rFonts w:ascii="Arial" w:hAnsi="Arial" w:cs="Arial"/>
        </w:rPr>
        <w:lastRenderedPageBreak/>
        <w:t>Reimburse beneficiaries, enrollees or participants who relied on an incorrect provider directory and paid a provider bill in excess of the in-network cost-sharing amount</w:t>
      </w:r>
      <w:r w:rsidR="00B91C96">
        <w:rPr>
          <w:rFonts w:ascii="Arial" w:hAnsi="Arial" w:cs="Arial"/>
        </w:rPr>
        <w:t xml:space="preserve"> (</w:t>
      </w:r>
      <w:r w:rsidR="00F64D61" w:rsidRPr="00B91C96">
        <w:rPr>
          <w:rFonts w:ascii="Arial" w:hAnsi="Arial" w:cs="Arial"/>
        </w:rPr>
        <w:t>i.e.</w:t>
      </w:r>
      <w:r w:rsidR="00B91C96">
        <w:rPr>
          <w:rFonts w:ascii="Arial" w:hAnsi="Arial" w:cs="Arial"/>
        </w:rPr>
        <w:t>,</w:t>
      </w:r>
      <w:r w:rsidR="00B91C96" w:rsidRPr="00B91C96">
        <w:rPr>
          <w:rFonts w:ascii="Arial" w:hAnsi="Arial" w:cs="Arial"/>
        </w:rPr>
        <w:t xml:space="preserve"> the difference between the patient’s in-network cost-sharing and the amount that the patient paid the provider previously</w:t>
      </w:r>
      <w:r w:rsidR="006B6DB5">
        <w:rPr>
          <w:rFonts w:ascii="Arial" w:hAnsi="Arial" w:cs="Arial"/>
        </w:rPr>
        <w:t>)</w:t>
      </w:r>
      <w:r>
        <w:rPr>
          <w:rFonts w:ascii="Arial" w:hAnsi="Arial" w:cs="Arial"/>
        </w:rPr>
        <w:t>.</w:t>
      </w:r>
      <w:r w:rsidR="00DA48CD" w:rsidRPr="00DA48CD">
        <w:rPr>
          <w:rFonts w:ascii="Arial" w:hAnsi="Arial" w:cs="Arial"/>
        </w:rPr>
        <w:t xml:space="preserve"> </w:t>
      </w:r>
    </w:p>
    <w:p w14:paraId="1142E7C8" w14:textId="77777777" w:rsidR="000D1AC5" w:rsidRDefault="000D1AC5" w:rsidP="000D1AC5">
      <w:pPr>
        <w:tabs>
          <w:tab w:val="left" w:pos="360"/>
          <w:tab w:val="left" w:pos="720"/>
        </w:tabs>
        <w:rPr>
          <w:rFonts w:ascii="Arial" w:hAnsi="Arial" w:cs="Arial"/>
        </w:rPr>
      </w:pPr>
    </w:p>
    <w:p w14:paraId="304E0CA6" w14:textId="092F104B" w:rsidR="003B59EF" w:rsidRPr="005C7E97" w:rsidRDefault="003B59EF" w:rsidP="00197898">
      <w:pPr>
        <w:tabs>
          <w:tab w:val="left" w:pos="360"/>
          <w:tab w:val="left" w:pos="720"/>
        </w:tabs>
        <w:ind w:left="360" w:hanging="360"/>
        <w:rPr>
          <w:rFonts w:ascii="Arial" w:hAnsi="Arial" w:cs="Arial"/>
          <w:b/>
          <w:bCs/>
        </w:rPr>
      </w:pPr>
      <w:r w:rsidRPr="005C7E97">
        <w:rPr>
          <w:rFonts w:ascii="Arial" w:hAnsi="Arial" w:cs="Arial"/>
          <w:b/>
          <w:bCs/>
        </w:rPr>
        <w:t>8)</w:t>
      </w:r>
      <w:r w:rsidR="00777489" w:rsidRPr="005C7E97">
        <w:rPr>
          <w:rFonts w:ascii="Arial" w:hAnsi="Arial" w:cs="Arial"/>
          <w:b/>
          <w:bCs/>
        </w:rPr>
        <w:tab/>
      </w:r>
      <w:r w:rsidR="00DD0D85" w:rsidRPr="005C7E97">
        <w:rPr>
          <w:rFonts w:ascii="Arial" w:hAnsi="Arial" w:cs="Arial"/>
          <w:b/>
          <w:bCs/>
        </w:rPr>
        <w:t>U</w:t>
      </w:r>
      <w:r w:rsidR="00A97B55" w:rsidRPr="005C7E97">
        <w:rPr>
          <w:rFonts w:ascii="Arial" w:hAnsi="Arial" w:cs="Arial"/>
          <w:b/>
          <w:bCs/>
        </w:rPr>
        <w:t>se independent dispute resolution or other available methods to resolve out-of-network bills</w:t>
      </w:r>
    </w:p>
    <w:p w14:paraId="4D47A7FB" w14:textId="77777777" w:rsidR="00B15C69" w:rsidRDefault="00B15C69" w:rsidP="000D1AC5">
      <w:pPr>
        <w:tabs>
          <w:tab w:val="left" w:pos="360"/>
          <w:tab w:val="left" w:pos="720"/>
        </w:tabs>
        <w:rPr>
          <w:rFonts w:ascii="Arial" w:hAnsi="Arial" w:cs="Arial"/>
        </w:rPr>
      </w:pPr>
    </w:p>
    <w:p w14:paraId="401153D6" w14:textId="6456BD1A" w:rsidR="00BE0B63" w:rsidRDefault="00BE0B63">
      <w:pPr>
        <w:pStyle w:val="ListParagraph"/>
        <w:numPr>
          <w:ilvl w:val="0"/>
          <w:numId w:val="17"/>
        </w:numPr>
        <w:tabs>
          <w:tab w:val="left" w:pos="360"/>
          <w:tab w:val="left" w:pos="720"/>
        </w:tabs>
        <w:rPr>
          <w:rFonts w:ascii="Arial" w:hAnsi="Arial" w:cs="Arial"/>
        </w:rPr>
      </w:pPr>
      <w:r>
        <w:rPr>
          <w:rFonts w:ascii="Arial" w:hAnsi="Arial" w:cs="Arial"/>
        </w:rPr>
        <w:t xml:space="preserve">[In State, some health care items and services are subject to </w:t>
      </w:r>
      <w:r w:rsidR="00B3587F">
        <w:rPr>
          <w:rFonts w:ascii="Arial" w:hAnsi="Arial" w:cs="Arial"/>
        </w:rPr>
        <w:t>balance billing protections established under state law</w:t>
      </w:r>
      <w:r w:rsidR="00DA6E43">
        <w:rPr>
          <w:rFonts w:ascii="Arial" w:hAnsi="Arial" w:cs="Arial"/>
        </w:rPr>
        <w:t xml:space="preserve">. When such laws apply, providers and facilities will continue to use State’s </w:t>
      </w:r>
      <w:r w:rsidR="00BB5A99">
        <w:rPr>
          <w:rFonts w:ascii="Arial" w:hAnsi="Arial" w:cs="Arial"/>
        </w:rPr>
        <w:t xml:space="preserve">process </w:t>
      </w:r>
      <w:r w:rsidR="00325678">
        <w:rPr>
          <w:rFonts w:ascii="Arial" w:hAnsi="Arial" w:cs="Arial"/>
        </w:rPr>
        <w:t xml:space="preserve">for resolving disputes </w:t>
      </w:r>
      <w:r w:rsidR="00B54B24">
        <w:rPr>
          <w:rFonts w:ascii="Arial" w:hAnsi="Arial" w:cs="Arial"/>
        </w:rPr>
        <w:t xml:space="preserve">with payers </w:t>
      </w:r>
      <w:r w:rsidR="00325678">
        <w:rPr>
          <w:rFonts w:ascii="Arial" w:hAnsi="Arial" w:cs="Arial"/>
        </w:rPr>
        <w:t xml:space="preserve">related to </w:t>
      </w:r>
      <w:r w:rsidR="00B54B24">
        <w:rPr>
          <w:rFonts w:ascii="Arial" w:hAnsi="Arial" w:cs="Arial"/>
        </w:rPr>
        <w:t xml:space="preserve">out-of-network </w:t>
      </w:r>
      <w:r w:rsidR="00325678">
        <w:rPr>
          <w:rFonts w:ascii="Arial" w:hAnsi="Arial" w:cs="Arial"/>
        </w:rPr>
        <w:t>payment amounts.</w:t>
      </w:r>
      <w:r w:rsidR="007863A3">
        <w:rPr>
          <w:rFonts w:ascii="Arial" w:hAnsi="Arial" w:cs="Arial"/>
        </w:rPr>
        <w:t>]</w:t>
      </w:r>
    </w:p>
    <w:p w14:paraId="24A8276C" w14:textId="77777777" w:rsidR="00BE0B63" w:rsidRDefault="00BE0B63" w:rsidP="00197898">
      <w:pPr>
        <w:pStyle w:val="ListParagraph"/>
        <w:tabs>
          <w:tab w:val="left" w:pos="360"/>
          <w:tab w:val="left" w:pos="720"/>
        </w:tabs>
        <w:rPr>
          <w:rFonts w:ascii="Arial" w:hAnsi="Arial" w:cs="Arial"/>
        </w:rPr>
      </w:pPr>
    </w:p>
    <w:p w14:paraId="605AF67A" w14:textId="061FFA17" w:rsidR="00921312" w:rsidRPr="00197898" w:rsidRDefault="007863A3" w:rsidP="00197898">
      <w:pPr>
        <w:pStyle w:val="ListParagraph"/>
        <w:numPr>
          <w:ilvl w:val="0"/>
          <w:numId w:val="17"/>
        </w:numPr>
        <w:tabs>
          <w:tab w:val="left" w:pos="360"/>
          <w:tab w:val="left" w:pos="720"/>
        </w:tabs>
        <w:rPr>
          <w:rFonts w:ascii="Arial" w:hAnsi="Arial" w:cs="Arial"/>
        </w:rPr>
      </w:pPr>
      <w:r>
        <w:rPr>
          <w:rFonts w:ascii="Arial" w:hAnsi="Arial" w:cs="Arial"/>
        </w:rPr>
        <w:t>For items and services to which state law does not apply, t</w:t>
      </w:r>
      <w:r w:rsidR="004E7D20">
        <w:rPr>
          <w:rFonts w:ascii="Arial" w:hAnsi="Arial" w:cs="Arial"/>
        </w:rPr>
        <w:t>he</w:t>
      </w:r>
      <w:r w:rsidR="00B44A0B" w:rsidRPr="00197898">
        <w:rPr>
          <w:rFonts w:ascii="Arial" w:hAnsi="Arial" w:cs="Arial"/>
        </w:rPr>
        <w:t xml:space="preserve"> NSA </w:t>
      </w:r>
      <w:r w:rsidR="0031469F" w:rsidRPr="00197898">
        <w:rPr>
          <w:rFonts w:ascii="Arial" w:hAnsi="Arial" w:cs="Arial"/>
        </w:rPr>
        <w:t>establishes an inde</w:t>
      </w:r>
      <w:r w:rsidR="00D95864" w:rsidRPr="00197898">
        <w:rPr>
          <w:rFonts w:ascii="Arial" w:hAnsi="Arial" w:cs="Arial"/>
        </w:rPr>
        <w:t xml:space="preserve">pendent dispute resolution process that providers, facilities, and air ambulance providers </w:t>
      </w:r>
      <w:r w:rsidR="004E7D20">
        <w:rPr>
          <w:rFonts w:ascii="Arial" w:hAnsi="Arial" w:cs="Arial"/>
        </w:rPr>
        <w:t xml:space="preserve">can </w:t>
      </w:r>
      <w:r w:rsidR="00AA352A">
        <w:rPr>
          <w:rFonts w:ascii="Arial" w:hAnsi="Arial" w:cs="Arial"/>
        </w:rPr>
        <w:t>use</w:t>
      </w:r>
      <w:r w:rsidR="00D95864" w:rsidRPr="00197898">
        <w:rPr>
          <w:rFonts w:ascii="Arial" w:hAnsi="Arial" w:cs="Arial"/>
        </w:rPr>
        <w:t xml:space="preserve"> in the case of certain out-of-network claims when open negotiations do</w:t>
      </w:r>
      <w:r w:rsidR="00321BAC" w:rsidRPr="00197898">
        <w:rPr>
          <w:rFonts w:ascii="Arial" w:hAnsi="Arial" w:cs="Arial"/>
        </w:rPr>
        <w:t xml:space="preserve"> </w:t>
      </w:r>
      <w:r w:rsidR="00D95864" w:rsidRPr="00197898">
        <w:rPr>
          <w:rFonts w:ascii="Arial" w:hAnsi="Arial" w:cs="Arial"/>
        </w:rPr>
        <w:t>n</w:t>
      </w:r>
      <w:r w:rsidR="00321BAC" w:rsidRPr="00197898">
        <w:rPr>
          <w:rFonts w:ascii="Arial" w:hAnsi="Arial" w:cs="Arial"/>
        </w:rPr>
        <w:t>o</w:t>
      </w:r>
      <w:r w:rsidR="00D95864" w:rsidRPr="00197898">
        <w:rPr>
          <w:rFonts w:ascii="Arial" w:hAnsi="Arial" w:cs="Arial"/>
        </w:rPr>
        <w:t>t result in an agreed-upon payment amount.</w:t>
      </w:r>
    </w:p>
    <w:p w14:paraId="70D2EFE5" w14:textId="77777777" w:rsidR="00921312" w:rsidRDefault="00921312" w:rsidP="00D95864">
      <w:pPr>
        <w:tabs>
          <w:tab w:val="left" w:pos="360"/>
          <w:tab w:val="left" w:pos="720"/>
        </w:tabs>
        <w:ind w:left="360" w:hanging="360"/>
        <w:rPr>
          <w:rFonts w:ascii="Arial" w:hAnsi="Arial" w:cs="Arial"/>
        </w:rPr>
      </w:pPr>
    </w:p>
    <w:p w14:paraId="695F6D95" w14:textId="4CE12201" w:rsidR="00B15C69" w:rsidRPr="007D7F9C" w:rsidRDefault="00D95864" w:rsidP="007D7F9C">
      <w:pPr>
        <w:pStyle w:val="ListParagraph"/>
        <w:numPr>
          <w:ilvl w:val="0"/>
          <w:numId w:val="17"/>
        </w:numPr>
        <w:tabs>
          <w:tab w:val="left" w:pos="360"/>
          <w:tab w:val="left" w:pos="720"/>
        </w:tabs>
        <w:rPr>
          <w:rFonts w:ascii="Arial" w:hAnsi="Arial" w:cs="Arial"/>
        </w:rPr>
      </w:pPr>
      <w:r w:rsidRPr="007D7F9C">
        <w:rPr>
          <w:rFonts w:ascii="Arial" w:hAnsi="Arial" w:cs="Arial"/>
        </w:rPr>
        <w:t xml:space="preserve">Providers, facilities and air ambulance providers will be required to meet deadlines, attest to no conflicts of interest, choose a certified independent dispute resolution entity, submit a payment offer and provide additional information if needed. </w:t>
      </w:r>
      <w:r w:rsidR="00B80E41" w:rsidRPr="007D7F9C">
        <w:rPr>
          <w:rFonts w:ascii="Arial" w:hAnsi="Arial" w:cs="Arial"/>
        </w:rPr>
        <w:t xml:space="preserve">More information on </w:t>
      </w:r>
      <w:r w:rsidR="00C7575E" w:rsidRPr="007D7F9C">
        <w:rPr>
          <w:rFonts w:ascii="Arial" w:hAnsi="Arial" w:cs="Arial"/>
        </w:rPr>
        <w:t xml:space="preserve">the federal independent dispute resolution process is expected to be added to the </w:t>
      </w:r>
      <w:hyperlink r:id="rId11" w:history="1">
        <w:r w:rsidR="00C7575E" w:rsidRPr="007D7F9C">
          <w:rPr>
            <w:rStyle w:val="Hyperlink"/>
            <w:rFonts w:ascii="Arial" w:hAnsi="Arial" w:cs="Arial"/>
          </w:rPr>
          <w:t>Centers for Medicare &amp; Medicaid Services No Surprises Act home page</w:t>
        </w:r>
      </w:hyperlink>
      <w:r w:rsidR="00D11CC7" w:rsidRPr="007D7F9C">
        <w:rPr>
          <w:rFonts w:ascii="Arial" w:hAnsi="Arial" w:cs="Arial"/>
        </w:rPr>
        <w:t xml:space="preserve"> - https://www.cms.gov/nosurprises</w:t>
      </w:r>
      <w:r w:rsidR="00C7575E" w:rsidRPr="007D7F9C">
        <w:rPr>
          <w:rFonts w:ascii="Arial" w:hAnsi="Arial" w:cs="Arial"/>
        </w:rPr>
        <w:t>.</w:t>
      </w:r>
      <w:r w:rsidRPr="007D7F9C">
        <w:rPr>
          <w:rFonts w:ascii="Arial" w:hAnsi="Arial" w:cs="Arial"/>
        </w:rPr>
        <w:t xml:space="preserve"> </w:t>
      </w:r>
    </w:p>
    <w:p w14:paraId="4ADED1FE" w14:textId="2C918616" w:rsidR="005624AD" w:rsidRDefault="00E30E76" w:rsidP="005624AD">
      <w:pPr>
        <w:pStyle w:val="Heading4"/>
        <w:shd w:val="clear" w:color="auto" w:fill="FFFFFF"/>
        <w:spacing w:before="240" w:beforeAutospacing="0" w:after="240" w:afterAutospacing="0"/>
        <w:rPr>
          <w:rFonts w:ascii="Arial" w:hAnsi="Arial" w:cs="Arial"/>
          <w:color w:val="000000"/>
          <w:u w:val="single"/>
        </w:rPr>
      </w:pPr>
      <w:r>
        <w:rPr>
          <w:rFonts w:ascii="Arial" w:hAnsi="Arial" w:cs="Arial"/>
          <w:color w:val="000000"/>
          <w:u w:val="single"/>
        </w:rPr>
        <w:t>G</w:t>
      </w:r>
      <w:r w:rsidR="005624AD" w:rsidRPr="006E7AD0">
        <w:rPr>
          <w:rFonts w:ascii="Arial" w:hAnsi="Arial" w:cs="Arial"/>
          <w:color w:val="000000"/>
          <w:u w:val="single"/>
        </w:rPr>
        <w:t xml:space="preserve">uidance </w:t>
      </w:r>
      <w:r w:rsidR="00781543">
        <w:rPr>
          <w:rFonts w:ascii="Arial" w:hAnsi="Arial" w:cs="Arial"/>
          <w:color w:val="000000"/>
          <w:u w:val="single"/>
        </w:rPr>
        <w:t>and</w:t>
      </w:r>
      <w:r w:rsidR="005624AD" w:rsidRPr="006E7AD0">
        <w:rPr>
          <w:rFonts w:ascii="Arial" w:hAnsi="Arial" w:cs="Arial"/>
          <w:color w:val="000000"/>
          <w:u w:val="single"/>
        </w:rPr>
        <w:t xml:space="preserve"> </w:t>
      </w:r>
      <w:r w:rsidR="00781543">
        <w:rPr>
          <w:rFonts w:ascii="Arial" w:hAnsi="Arial" w:cs="Arial"/>
          <w:color w:val="000000"/>
          <w:u w:val="single"/>
        </w:rPr>
        <w:t>T</w:t>
      </w:r>
      <w:r w:rsidR="005624AD" w:rsidRPr="006E7AD0">
        <w:rPr>
          <w:rFonts w:ascii="Arial" w:hAnsi="Arial" w:cs="Arial"/>
          <w:color w:val="000000"/>
          <w:u w:val="single"/>
        </w:rPr>
        <w:t xml:space="preserve">echnical </w:t>
      </w:r>
      <w:r w:rsidR="00781543">
        <w:rPr>
          <w:rFonts w:ascii="Arial" w:hAnsi="Arial" w:cs="Arial"/>
          <w:color w:val="000000"/>
          <w:u w:val="single"/>
        </w:rPr>
        <w:t>R</w:t>
      </w:r>
      <w:r w:rsidR="005624AD" w:rsidRPr="006E7AD0">
        <w:rPr>
          <w:rFonts w:ascii="Arial" w:hAnsi="Arial" w:cs="Arial"/>
          <w:color w:val="000000"/>
          <w:u w:val="single"/>
        </w:rPr>
        <w:t>esources</w:t>
      </w:r>
    </w:p>
    <w:p w14:paraId="0454B777" w14:textId="77777777" w:rsidR="00781543" w:rsidRPr="00A87F9C" w:rsidRDefault="00D31802" w:rsidP="00781543">
      <w:pPr>
        <w:pStyle w:val="ListParagraph"/>
        <w:numPr>
          <w:ilvl w:val="0"/>
          <w:numId w:val="14"/>
        </w:numPr>
        <w:tabs>
          <w:tab w:val="left" w:pos="360"/>
          <w:tab w:val="left" w:pos="720"/>
        </w:tabs>
        <w:rPr>
          <w:rStyle w:val="Hyperlink"/>
          <w:rFonts w:ascii="Arial" w:hAnsi="Arial" w:cs="Arial"/>
          <w:color w:val="auto"/>
          <w:u w:val="none"/>
        </w:rPr>
      </w:pPr>
      <w:hyperlink r:id="rId12" w:history="1">
        <w:r w:rsidR="00781543" w:rsidRPr="005A783C">
          <w:rPr>
            <w:rStyle w:val="Hyperlink"/>
            <w:rFonts w:ascii="Arial" w:hAnsi="Arial" w:cs="Arial"/>
          </w:rPr>
          <w:t>Centers for Medicare &amp; Medicaid Services No Surprises Act Home Page</w:t>
        </w:r>
      </w:hyperlink>
    </w:p>
    <w:p w14:paraId="593D1A93" w14:textId="504C324F" w:rsidR="00A87F9C" w:rsidRDefault="00D31802" w:rsidP="00A87F9C">
      <w:pPr>
        <w:pStyle w:val="ListParagraph"/>
        <w:numPr>
          <w:ilvl w:val="1"/>
          <w:numId w:val="14"/>
        </w:numPr>
        <w:tabs>
          <w:tab w:val="left" w:pos="360"/>
          <w:tab w:val="left" w:pos="720"/>
        </w:tabs>
        <w:rPr>
          <w:rFonts w:ascii="Arial" w:hAnsi="Arial" w:cs="Arial"/>
        </w:rPr>
      </w:pPr>
      <w:hyperlink r:id="rId13" w:history="1">
        <w:r w:rsidR="00323389">
          <w:rPr>
            <w:rStyle w:val="Hyperlink"/>
            <w:rFonts w:ascii="Arial" w:hAnsi="Arial" w:cs="Arial"/>
          </w:rPr>
          <w:t>Provider Requirements and Resources Page</w:t>
        </w:r>
      </w:hyperlink>
    </w:p>
    <w:p w14:paraId="410EEFED" w14:textId="77777777" w:rsidR="00781543" w:rsidRPr="005A783C" w:rsidRDefault="00D31802" w:rsidP="00781543">
      <w:pPr>
        <w:pStyle w:val="ListParagraph"/>
        <w:numPr>
          <w:ilvl w:val="0"/>
          <w:numId w:val="14"/>
        </w:numPr>
        <w:tabs>
          <w:tab w:val="left" w:pos="360"/>
          <w:tab w:val="left" w:pos="720"/>
        </w:tabs>
        <w:rPr>
          <w:rFonts w:ascii="Arial" w:hAnsi="Arial" w:cs="Arial"/>
        </w:rPr>
      </w:pPr>
      <w:hyperlink r:id="rId14" w:history="1">
        <w:r w:rsidR="00781543" w:rsidRPr="005A783C">
          <w:rPr>
            <w:rStyle w:val="Hyperlink"/>
            <w:rFonts w:ascii="Arial" w:hAnsi="Arial" w:cs="Arial"/>
          </w:rPr>
          <w:t>Overview of NSA Rules and Fact Sheets</w:t>
        </w:r>
      </w:hyperlink>
    </w:p>
    <w:p w14:paraId="612AD6E3" w14:textId="77777777" w:rsidR="005624AD" w:rsidRPr="006E7AD0" w:rsidRDefault="005624AD" w:rsidP="006E7AD0">
      <w:pPr>
        <w:numPr>
          <w:ilvl w:val="0"/>
          <w:numId w:val="15"/>
        </w:numPr>
        <w:shd w:val="clear" w:color="auto" w:fill="FFFFFF"/>
        <w:tabs>
          <w:tab w:val="clear" w:pos="720"/>
          <w:tab w:val="num" w:pos="0"/>
        </w:tabs>
        <w:spacing w:before="60" w:after="60"/>
        <w:ind w:left="360"/>
        <w:rPr>
          <w:rFonts w:ascii="Arial" w:hAnsi="Arial" w:cs="Arial"/>
          <w:color w:val="000000"/>
        </w:rPr>
      </w:pPr>
      <w:r w:rsidRPr="006E7AD0">
        <w:rPr>
          <w:rFonts w:ascii="Arial" w:hAnsi="Arial" w:cs="Arial"/>
          <w:color w:val="000000"/>
        </w:rPr>
        <w:t>Calendar Year 2022 Fee Guidance for the Federal Independent Dispute Resolution Process Under No Surprises </w:t>
      </w:r>
      <w:hyperlink r:id="rId15" w:tooltip="Technical-Guidance-CY2022-Fee-Guidance-Federal-Independent-Dispute-Resolution-Process-NSA" w:history="1">
        <w:r w:rsidRPr="006E7AD0">
          <w:rPr>
            <w:rStyle w:val="Hyperlink"/>
            <w:rFonts w:ascii="Arial" w:hAnsi="Arial" w:cs="Arial"/>
            <w:color w:val="006699"/>
            <w:bdr w:val="none" w:sz="0" w:space="0" w:color="auto" w:frame="1"/>
          </w:rPr>
          <w:t>(Download Fee Information) (PDF)</w:t>
        </w:r>
      </w:hyperlink>
    </w:p>
    <w:p w14:paraId="06179DFA" w14:textId="77777777" w:rsidR="005624AD" w:rsidRPr="006E7AD0" w:rsidRDefault="005624AD" w:rsidP="006E7AD0">
      <w:pPr>
        <w:numPr>
          <w:ilvl w:val="0"/>
          <w:numId w:val="15"/>
        </w:numPr>
        <w:shd w:val="clear" w:color="auto" w:fill="FFFFFF"/>
        <w:tabs>
          <w:tab w:val="clear" w:pos="720"/>
          <w:tab w:val="num" w:pos="0"/>
        </w:tabs>
        <w:spacing w:before="60" w:after="60"/>
        <w:ind w:left="360"/>
        <w:rPr>
          <w:rFonts w:ascii="Arial" w:hAnsi="Arial" w:cs="Arial"/>
          <w:color w:val="000000"/>
        </w:rPr>
      </w:pPr>
      <w:r w:rsidRPr="006E7AD0">
        <w:rPr>
          <w:rFonts w:ascii="Arial" w:hAnsi="Arial" w:cs="Arial"/>
          <w:color w:val="000000"/>
        </w:rPr>
        <w:t>Standard notice &amp; consent forms for nonparticipating providers &amp; emergency facilities regarding consumer consent on balance billing protections </w:t>
      </w:r>
      <w:hyperlink r:id="rId16" w:tooltip="Standard notice &amp; consent forms for nonparticipating providers &amp; emergency  facilities regarding consumer consent on balance billing protections" w:history="1">
        <w:r w:rsidRPr="006E7AD0">
          <w:rPr>
            <w:rStyle w:val="Hyperlink"/>
            <w:rFonts w:ascii="Arial" w:hAnsi="Arial" w:cs="Arial"/>
            <w:color w:val="006699"/>
            <w:bdr w:val="none" w:sz="0" w:space="0" w:color="auto" w:frame="1"/>
          </w:rPr>
          <w:t>(Download Surprise Billing Protection Form) (PDF)</w:t>
        </w:r>
      </w:hyperlink>
    </w:p>
    <w:p w14:paraId="5314268F" w14:textId="77777777" w:rsidR="005624AD" w:rsidRPr="006E7AD0" w:rsidRDefault="005624AD" w:rsidP="006E7AD0">
      <w:pPr>
        <w:numPr>
          <w:ilvl w:val="0"/>
          <w:numId w:val="15"/>
        </w:numPr>
        <w:shd w:val="clear" w:color="auto" w:fill="FFFFFF"/>
        <w:tabs>
          <w:tab w:val="clear" w:pos="720"/>
          <w:tab w:val="num" w:pos="360"/>
        </w:tabs>
        <w:spacing w:before="60" w:after="60"/>
        <w:ind w:left="360"/>
        <w:rPr>
          <w:rFonts w:ascii="Arial" w:hAnsi="Arial" w:cs="Arial"/>
          <w:color w:val="000000"/>
        </w:rPr>
      </w:pPr>
      <w:r w:rsidRPr="006E7AD0">
        <w:rPr>
          <w:rFonts w:ascii="Arial" w:hAnsi="Arial" w:cs="Arial"/>
          <w:color w:val="000000"/>
        </w:rPr>
        <w:t>Model disclosure notice on patient protections against surprise billing for providers, facilities, health plans and insurers</w:t>
      </w:r>
      <w:hyperlink r:id="rId17" w:tooltip="Model disclosure notice on patient protections against surprise billing for  providers, facilities, health plans and insurers" w:history="1">
        <w:r w:rsidRPr="006E7AD0">
          <w:rPr>
            <w:rStyle w:val="Hyperlink"/>
            <w:rFonts w:ascii="Arial" w:hAnsi="Arial" w:cs="Arial"/>
            <w:color w:val="006699"/>
            <w:bdr w:val="none" w:sz="0" w:space="0" w:color="auto" w:frame="1"/>
          </w:rPr>
          <w:t> (Download Patient Rights &amp; Protections Against Surprise Medical Bills) (PDF)</w:t>
        </w:r>
      </w:hyperlink>
    </w:p>
    <w:p w14:paraId="47181244" w14:textId="77777777" w:rsidR="005624AD" w:rsidRPr="006E7AD0" w:rsidRDefault="005624AD" w:rsidP="006E7AD0">
      <w:pPr>
        <w:numPr>
          <w:ilvl w:val="0"/>
          <w:numId w:val="15"/>
        </w:numPr>
        <w:shd w:val="clear" w:color="auto" w:fill="FFFFFF"/>
        <w:tabs>
          <w:tab w:val="clear" w:pos="720"/>
          <w:tab w:val="num" w:pos="360"/>
        </w:tabs>
        <w:spacing w:before="60" w:after="60"/>
        <w:ind w:left="360"/>
        <w:rPr>
          <w:rFonts w:ascii="Arial" w:hAnsi="Arial" w:cs="Arial"/>
          <w:color w:val="000000"/>
        </w:rPr>
      </w:pPr>
      <w:r w:rsidRPr="006E7AD0">
        <w:rPr>
          <w:rFonts w:ascii="Arial" w:hAnsi="Arial" w:cs="Arial"/>
          <w:color w:val="000000"/>
        </w:rPr>
        <w:t>Paperwork Reduction Act (PRA) model notices and information collection requirements for the Federal Independent Dispute Resolution Process </w:t>
      </w:r>
      <w:hyperlink r:id="rId18" w:history="1">
        <w:r w:rsidRPr="006E7AD0">
          <w:rPr>
            <w:rStyle w:val="Hyperlink"/>
            <w:rFonts w:ascii="Arial" w:hAnsi="Arial" w:cs="Arial"/>
            <w:color w:val="006699"/>
            <w:bdr w:val="none" w:sz="0" w:space="0" w:color="auto" w:frame="1"/>
          </w:rPr>
          <w:t>(Download Model Notices and Information Requirements)</w:t>
        </w:r>
      </w:hyperlink>
    </w:p>
    <w:p w14:paraId="01819E23" w14:textId="77777777" w:rsidR="005624AD" w:rsidRPr="006E7AD0" w:rsidRDefault="005624AD" w:rsidP="006E7AD0">
      <w:pPr>
        <w:numPr>
          <w:ilvl w:val="0"/>
          <w:numId w:val="15"/>
        </w:numPr>
        <w:shd w:val="clear" w:color="auto" w:fill="FFFFFF"/>
        <w:tabs>
          <w:tab w:val="clear" w:pos="720"/>
          <w:tab w:val="num" w:pos="360"/>
        </w:tabs>
        <w:spacing w:before="60" w:after="60"/>
        <w:ind w:left="360"/>
        <w:rPr>
          <w:rFonts w:ascii="Arial" w:hAnsi="Arial" w:cs="Arial"/>
          <w:color w:val="000000"/>
        </w:rPr>
      </w:pPr>
      <w:r w:rsidRPr="006E7AD0">
        <w:rPr>
          <w:rFonts w:ascii="Arial" w:hAnsi="Arial" w:cs="Arial"/>
          <w:color w:val="000000"/>
        </w:rPr>
        <w:t>Paperwork Reduction Act (PRA) model notices and information collection requirements for the good-faith estimate and patient-provider payment dispute resolution </w:t>
      </w:r>
      <w:hyperlink r:id="rId19" w:tooltip="CMS-10791 " w:history="1">
        <w:r w:rsidRPr="006E7AD0">
          <w:rPr>
            <w:rStyle w:val="Hyperlink"/>
            <w:rFonts w:ascii="Arial" w:hAnsi="Arial" w:cs="Arial"/>
            <w:color w:val="006699"/>
            <w:bdr w:val="none" w:sz="0" w:space="0" w:color="auto" w:frame="1"/>
          </w:rPr>
          <w:t>(Download Model Notices and Information Requirements)</w:t>
        </w:r>
      </w:hyperlink>
    </w:p>
    <w:p w14:paraId="649C599D" w14:textId="77777777" w:rsidR="005624AD" w:rsidRPr="006E7AD0" w:rsidRDefault="005624AD" w:rsidP="006E7AD0">
      <w:pPr>
        <w:numPr>
          <w:ilvl w:val="0"/>
          <w:numId w:val="15"/>
        </w:numPr>
        <w:shd w:val="clear" w:color="auto" w:fill="FFFFFF"/>
        <w:tabs>
          <w:tab w:val="clear" w:pos="720"/>
          <w:tab w:val="num" w:pos="360"/>
        </w:tabs>
        <w:spacing w:before="60" w:after="60"/>
        <w:ind w:left="360"/>
        <w:rPr>
          <w:rFonts w:ascii="Arial" w:hAnsi="Arial" w:cs="Arial"/>
          <w:color w:val="000000"/>
        </w:rPr>
      </w:pPr>
      <w:r w:rsidRPr="006E7AD0">
        <w:rPr>
          <w:rFonts w:ascii="Arial" w:hAnsi="Arial" w:cs="Arial"/>
          <w:color w:val="000000"/>
        </w:rPr>
        <w:t>Requirements for including federal agency contact information and website URL on certain documents </w:t>
      </w:r>
      <w:hyperlink r:id="rId20" w:tooltip="Memo on No Surprises Act Phone Number and Website URL CLEAN 508 MM2" w:history="1">
        <w:r w:rsidRPr="006E7AD0">
          <w:rPr>
            <w:rStyle w:val="Hyperlink"/>
            <w:rFonts w:ascii="Arial" w:hAnsi="Arial" w:cs="Arial"/>
            <w:color w:val="006699"/>
            <w:bdr w:val="none" w:sz="0" w:space="0" w:color="auto" w:frame="1"/>
          </w:rPr>
          <w:t>(Download Memo of Requirements for Plans, Providers and Facilities) (PDF)</w:t>
        </w:r>
      </w:hyperlink>
    </w:p>
    <w:p w14:paraId="076ED6BA" w14:textId="77777777" w:rsidR="00892228" w:rsidRDefault="00892228" w:rsidP="006E7AD0">
      <w:pPr>
        <w:tabs>
          <w:tab w:val="left" w:pos="360"/>
          <w:tab w:val="left" w:pos="720"/>
        </w:tabs>
      </w:pPr>
    </w:p>
    <w:sectPr w:rsidR="00892228" w:rsidSect="0096144E">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F5DA" w14:textId="77777777" w:rsidR="003B5717" w:rsidRDefault="003B5717" w:rsidP="00BE036C">
      <w:r>
        <w:separator/>
      </w:r>
    </w:p>
  </w:endnote>
  <w:endnote w:type="continuationSeparator" w:id="0">
    <w:p w14:paraId="16B03765" w14:textId="77777777" w:rsidR="003B5717" w:rsidRDefault="003B5717" w:rsidP="00BE036C">
      <w:r>
        <w:continuationSeparator/>
      </w:r>
    </w:p>
  </w:endnote>
  <w:endnote w:type="continuationNotice" w:id="1">
    <w:p w14:paraId="094BC064" w14:textId="77777777" w:rsidR="003B5717" w:rsidRDefault="003B5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A832" w14:textId="6CD7CAEC" w:rsidR="00BE036C" w:rsidRPr="00BE036C" w:rsidRDefault="00BE036C" w:rsidP="00BE036C">
    <w:pPr>
      <w:tabs>
        <w:tab w:val="center" w:pos="5040"/>
        <w:tab w:val="right" w:pos="8640"/>
      </w:tabs>
      <w:spacing w:line="240" w:lineRule="atLeast"/>
      <w:jc w:val="both"/>
      <w:rPr>
        <w:sz w:val="20"/>
        <w:szCs w:val="20"/>
      </w:rPr>
    </w:pPr>
    <w:r w:rsidRPr="00BE036C">
      <w:rPr>
        <w:sz w:val="20"/>
        <w:szCs w:val="20"/>
      </w:rPr>
      <w:t>© 20</w:t>
    </w:r>
    <w:r>
      <w:rPr>
        <w:sz w:val="20"/>
        <w:szCs w:val="20"/>
      </w:rPr>
      <w:t>21</w:t>
    </w:r>
    <w:r w:rsidRPr="00BE036C">
      <w:rPr>
        <w:sz w:val="20"/>
        <w:szCs w:val="20"/>
      </w:rPr>
      <w:t xml:space="preserve"> National Association of Insurance Commissioners</w:t>
    </w:r>
    <w:r w:rsidRPr="00BE036C">
      <w:rPr>
        <w:sz w:val="20"/>
        <w:szCs w:val="20"/>
      </w:rPr>
      <w:tab/>
    </w:r>
    <w:r w:rsidRPr="00BE036C">
      <w:rPr>
        <w:sz w:val="20"/>
        <w:szCs w:val="20"/>
      </w:rPr>
      <w:fldChar w:fldCharType="begin"/>
    </w:r>
    <w:r w:rsidRPr="00BE036C">
      <w:rPr>
        <w:sz w:val="20"/>
        <w:szCs w:val="20"/>
      </w:rPr>
      <w:instrText xml:space="preserve"> PAGE   \* MERGEFORMAT </w:instrText>
    </w:r>
    <w:r w:rsidRPr="00BE036C">
      <w:rPr>
        <w:sz w:val="20"/>
        <w:szCs w:val="20"/>
      </w:rPr>
      <w:fldChar w:fldCharType="separate"/>
    </w:r>
    <w:r w:rsidRPr="00BE036C">
      <w:rPr>
        <w:sz w:val="20"/>
        <w:szCs w:val="20"/>
      </w:rPr>
      <w:t>1</w:t>
    </w:r>
    <w:r w:rsidRPr="00BE036C">
      <w:rPr>
        <w:noProof/>
        <w:sz w:val="20"/>
        <w:szCs w:val="20"/>
      </w:rPr>
      <w:fldChar w:fldCharType="end"/>
    </w:r>
  </w:p>
  <w:p w14:paraId="3F2C75E4" w14:textId="77777777" w:rsidR="00BE036C" w:rsidRDefault="00BE0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526F" w14:textId="77777777" w:rsidR="003B5717" w:rsidRDefault="003B5717" w:rsidP="00BE036C">
      <w:r>
        <w:separator/>
      </w:r>
    </w:p>
  </w:footnote>
  <w:footnote w:type="continuationSeparator" w:id="0">
    <w:p w14:paraId="37C3B788" w14:textId="77777777" w:rsidR="003B5717" w:rsidRDefault="003B5717" w:rsidP="00BE036C">
      <w:r>
        <w:continuationSeparator/>
      </w:r>
    </w:p>
  </w:footnote>
  <w:footnote w:type="continuationNotice" w:id="1">
    <w:p w14:paraId="33F868D6" w14:textId="77777777" w:rsidR="003B5717" w:rsidRDefault="003B57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216"/>
    <w:multiLevelType w:val="hybridMultilevel"/>
    <w:tmpl w:val="9186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62A8"/>
    <w:multiLevelType w:val="multilevel"/>
    <w:tmpl w:val="105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905CA"/>
    <w:multiLevelType w:val="hybridMultilevel"/>
    <w:tmpl w:val="2F5E9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66D7A"/>
    <w:multiLevelType w:val="hybridMultilevel"/>
    <w:tmpl w:val="46D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177C1"/>
    <w:multiLevelType w:val="hybridMultilevel"/>
    <w:tmpl w:val="F9DAE8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26FD6"/>
    <w:multiLevelType w:val="hybridMultilevel"/>
    <w:tmpl w:val="4AA88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6223F"/>
    <w:multiLevelType w:val="hybridMultilevel"/>
    <w:tmpl w:val="E9A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120C2"/>
    <w:multiLevelType w:val="hybridMultilevel"/>
    <w:tmpl w:val="D9EC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2666E"/>
    <w:multiLevelType w:val="hybridMultilevel"/>
    <w:tmpl w:val="916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E25AD"/>
    <w:multiLevelType w:val="hybridMultilevel"/>
    <w:tmpl w:val="20468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802413"/>
    <w:multiLevelType w:val="hybridMultilevel"/>
    <w:tmpl w:val="D05A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D303A"/>
    <w:multiLevelType w:val="hybridMultilevel"/>
    <w:tmpl w:val="5B508BE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06AB7"/>
    <w:multiLevelType w:val="hybridMultilevel"/>
    <w:tmpl w:val="6400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6683"/>
    <w:multiLevelType w:val="hybridMultilevel"/>
    <w:tmpl w:val="EFB2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72315"/>
    <w:multiLevelType w:val="hybridMultilevel"/>
    <w:tmpl w:val="9674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06B5B"/>
    <w:multiLevelType w:val="hybridMultilevel"/>
    <w:tmpl w:val="0CC8D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095F51"/>
    <w:multiLevelType w:val="hybridMultilevel"/>
    <w:tmpl w:val="FFC4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0"/>
  </w:num>
  <w:num w:numId="5">
    <w:abstractNumId w:val="13"/>
  </w:num>
  <w:num w:numId="6">
    <w:abstractNumId w:val="16"/>
  </w:num>
  <w:num w:numId="7">
    <w:abstractNumId w:val="7"/>
  </w:num>
  <w:num w:numId="8">
    <w:abstractNumId w:val="0"/>
  </w:num>
  <w:num w:numId="9">
    <w:abstractNumId w:val="4"/>
  </w:num>
  <w:num w:numId="10">
    <w:abstractNumId w:val="8"/>
  </w:num>
  <w:num w:numId="11">
    <w:abstractNumId w:val="11"/>
  </w:num>
  <w:num w:numId="12">
    <w:abstractNumId w:val="12"/>
  </w:num>
  <w:num w:numId="13">
    <w:abstractNumId w:val="6"/>
  </w:num>
  <w:num w:numId="14">
    <w:abstractNumId w:val="15"/>
  </w:num>
  <w:num w:numId="15">
    <w:abstractNumId w:val="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0E"/>
    <w:rsid w:val="000021EA"/>
    <w:rsid w:val="00002357"/>
    <w:rsid w:val="00005363"/>
    <w:rsid w:val="00006B55"/>
    <w:rsid w:val="00006D0A"/>
    <w:rsid w:val="00007AF1"/>
    <w:rsid w:val="00007FE9"/>
    <w:rsid w:val="00014177"/>
    <w:rsid w:val="00016A47"/>
    <w:rsid w:val="00022BB6"/>
    <w:rsid w:val="00037000"/>
    <w:rsid w:val="00045324"/>
    <w:rsid w:val="00057FE1"/>
    <w:rsid w:val="000652AE"/>
    <w:rsid w:val="00081192"/>
    <w:rsid w:val="00084663"/>
    <w:rsid w:val="000905F7"/>
    <w:rsid w:val="000919FB"/>
    <w:rsid w:val="00093DD0"/>
    <w:rsid w:val="00093EFE"/>
    <w:rsid w:val="000955CF"/>
    <w:rsid w:val="000A2D60"/>
    <w:rsid w:val="000A2FEE"/>
    <w:rsid w:val="000A6FBE"/>
    <w:rsid w:val="000A7837"/>
    <w:rsid w:val="000C6415"/>
    <w:rsid w:val="000D16FB"/>
    <w:rsid w:val="000D1AC5"/>
    <w:rsid w:val="000D49B4"/>
    <w:rsid w:val="000E3885"/>
    <w:rsid w:val="000E4408"/>
    <w:rsid w:val="000F38C9"/>
    <w:rsid w:val="00103B39"/>
    <w:rsid w:val="0010479B"/>
    <w:rsid w:val="00104A29"/>
    <w:rsid w:val="001117AB"/>
    <w:rsid w:val="00114E8A"/>
    <w:rsid w:val="0012450C"/>
    <w:rsid w:val="00136DDD"/>
    <w:rsid w:val="00140DB0"/>
    <w:rsid w:val="001436CD"/>
    <w:rsid w:val="001449BB"/>
    <w:rsid w:val="001451CA"/>
    <w:rsid w:val="00147E4E"/>
    <w:rsid w:val="00155BA1"/>
    <w:rsid w:val="00157483"/>
    <w:rsid w:val="001607A4"/>
    <w:rsid w:val="00160B06"/>
    <w:rsid w:val="00163DE9"/>
    <w:rsid w:val="001678D0"/>
    <w:rsid w:val="00173A92"/>
    <w:rsid w:val="00183EE0"/>
    <w:rsid w:val="001849F3"/>
    <w:rsid w:val="0018649F"/>
    <w:rsid w:val="001964E4"/>
    <w:rsid w:val="00197898"/>
    <w:rsid w:val="001A3EEE"/>
    <w:rsid w:val="001A5A74"/>
    <w:rsid w:val="001B4059"/>
    <w:rsid w:val="001D308B"/>
    <w:rsid w:val="00202BA3"/>
    <w:rsid w:val="002217D1"/>
    <w:rsid w:val="0023074D"/>
    <w:rsid w:val="00234D1A"/>
    <w:rsid w:val="00235575"/>
    <w:rsid w:val="002360AF"/>
    <w:rsid w:val="00241A05"/>
    <w:rsid w:val="00244BF9"/>
    <w:rsid w:val="002456B1"/>
    <w:rsid w:val="00255B83"/>
    <w:rsid w:val="0027089A"/>
    <w:rsid w:val="00276759"/>
    <w:rsid w:val="002775F0"/>
    <w:rsid w:val="00280AEB"/>
    <w:rsid w:val="002810F5"/>
    <w:rsid w:val="00281C0C"/>
    <w:rsid w:val="00292304"/>
    <w:rsid w:val="00295F32"/>
    <w:rsid w:val="00296EAB"/>
    <w:rsid w:val="002A1A2E"/>
    <w:rsid w:val="002A1C94"/>
    <w:rsid w:val="002A460C"/>
    <w:rsid w:val="002D00A4"/>
    <w:rsid w:val="002E2774"/>
    <w:rsid w:val="002E49CD"/>
    <w:rsid w:val="002E4E8C"/>
    <w:rsid w:val="003013FB"/>
    <w:rsid w:val="00302028"/>
    <w:rsid w:val="003039DC"/>
    <w:rsid w:val="0030748F"/>
    <w:rsid w:val="0031469F"/>
    <w:rsid w:val="00314D5F"/>
    <w:rsid w:val="00316130"/>
    <w:rsid w:val="00321BAC"/>
    <w:rsid w:val="00323389"/>
    <w:rsid w:val="00325619"/>
    <w:rsid w:val="00325678"/>
    <w:rsid w:val="003307E6"/>
    <w:rsid w:val="00332A6D"/>
    <w:rsid w:val="00336494"/>
    <w:rsid w:val="00344654"/>
    <w:rsid w:val="003461C0"/>
    <w:rsid w:val="00346DF7"/>
    <w:rsid w:val="00352ADA"/>
    <w:rsid w:val="003578AF"/>
    <w:rsid w:val="00362076"/>
    <w:rsid w:val="00373E92"/>
    <w:rsid w:val="003832A6"/>
    <w:rsid w:val="00384C88"/>
    <w:rsid w:val="003869FD"/>
    <w:rsid w:val="00387DE9"/>
    <w:rsid w:val="00393F03"/>
    <w:rsid w:val="003B339A"/>
    <w:rsid w:val="003B54E2"/>
    <w:rsid w:val="003B5717"/>
    <w:rsid w:val="003B59EF"/>
    <w:rsid w:val="003D5B30"/>
    <w:rsid w:val="003D5D41"/>
    <w:rsid w:val="003D65A3"/>
    <w:rsid w:val="003E6AD0"/>
    <w:rsid w:val="003F581D"/>
    <w:rsid w:val="003F67B1"/>
    <w:rsid w:val="00412439"/>
    <w:rsid w:val="00427EBA"/>
    <w:rsid w:val="00435EF1"/>
    <w:rsid w:val="0044285D"/>
    <w:rsid w:val="00442CC6"/>
    <w:rsid w:val="004451E3"/>
    <w:rsid w:val="0044565B"/>
    <w:rsid w:val="00446642"/>
    <w:rsid w:val="00447542"/>
    <w:rsid w:val="00461EF2"/>
    <w:rsid w:val="00462B7D"/>
    <w:rsid w:val="00464A15"/>
    <w:rsid w:val="004813CC"/>
    <w:rsid w:val="0048277A"/>
    <w:rsid w:val="004827CB"/>
    <w:rsid w:val="004830D8"/>
    <w:rsid w:val="004843C2"/>
    <w:rsid w:val="004865A9"/>
    <w:rsid w:val="00487083"/>
    <w:rsid w:val="00490739"/>
    <w:rsid w:val="004963AA"/>
    <w:rsid w:val="004B3E8C"/>
    <w:rsid w:val="004C4231"/>
    <w:rsid w:val="004D3361"/>
    <w:rsid w:val="004D4ACE"/>
    <w:rsid w:val="004D70E2"/>
    <w:rsid w:val="004E0169"/>
    <w:rsid w:val="004E4028"/>
    <w:rsid w:val="004E7D20"/>
    <w:rsid w:val="004F0464"/>
    <w:rsid w:val="00503497"/>
    <w:rsid w:val="005255FD"/>
    <w:rsid w:val="00531A45"/>
    <w:rsid w:val="00532B10"/>
    <w:rsid w:val="00534A05"/>
    <w:rsid w:val="00542CD1"/>
    <w:rsid w:val="005441B5"/>
    <w:rsid w:val="00555876"/>
    <w:rsid w:val="005624AD"/>
    <w:rsid w:val="00571FA0"/>
    <w:rsid w:val="00572612"/>
    <w:rsid w:val="00574BA8"/>
    <w:rsid w:val="005779E1"/>
    <w:rsid w:val="005822DB"/>
    <w:rsid w:val="005859C7"/>
    <w:rsid w:val="00591855"/>
    <w:rsid w:val="005A011C"/>
    <w:rsid w:val="005A5E08"/>
    <w:rsid w:val="005A783C"/>
    <w:rsid w:val="005B1FF4"/>
    <w:rsid w:val="005B38FB"/>
    <w:rsid w:val="005B6F27"/>
    <w:rsid w:val="005B7900"/>
    <w:rsid w:val="005C22B5"/>
    <w:rsid w:val="005C5E69"/>
    <w:rsid w:val="005C7E97"/>
    <w:rsid w:val="005D31F3"/>
    <w:rsid w:val="005D5827"/>
    <w:rsid w:val="005D7689"/>
    <w:rsid w:val="005E0AE1"/>
    <w:rsid w:val="005E7789"/>
    <w:rsid w:val="005F1E28"/>
    <w:rsid w:val="005F7C03"/>
    <w:rsid w:val="006055ED"/>
    <w:rsid w:val="00606FA8"/>
    <w:rsid w:val="006072F9"/>
    <w:rsid w:val="006140BC"/>
    <w:rsid w:val="0061668D"/>
    <w:rsid w:val="00620CF2"/>
    <w:rsid w:val="00621C52"/>
    <w:rsid w:val="00652DC3"/>
    <w:rsid w:val="00652FE6"/>
    <w:rsid w:val="0065517C"/>
    <w:rsid w:val="00656D76"/>
    <w:rsid w:val="00657D27"/>
    <w:rsid w:val="006663ED"/>
    <w:rsid w:val="00667533"/>
    <w:rsid w:val="00671546"/>
    <w:rsid w:val="00674420"/>
    <w:rsid w:val="00677E80"/>
    <w:rsid w:val="00683C72"/>
    <w:rsid w:val="0068586D"/>
    <w:rsid w:val="006945F3"/>
    <w:rsid w:val="00694AE8"/>
    <w:rsid w:val="006A0268"/>
    <w:rsid w:val="006A2D17"/>
    <w:rsid w:val="006B018C"/>
    <w:rsid w:val="006B05B8"/>
    <w:rsid w:val="006B2BD4"/>
    <w:rsid w:val="006B59A8"/>
    <w:rsid w:val="006B6DB5"/>
    <w:rsid w:val="006E5F8F"/>
    <w:rsid w:val="006E6088"/>
    <w:rsid w:val="006E6C6C"/>
    <w:rsid w:val="006E7AD0"/>
    <w:rsid w:val="006F7222"/>
    <w:rsid w:val="00701102"/>
    <w:rsid w:val="00701133"/>
    <w:rsid w:val="00705849"/>
    <w:rsid w:val="00713A33"/>
    <w:rsid w:val="00713F20"/>
    <w:rsid w:val="00714FFC"/>
    <w:rsid w:val="0072711D"/>
    <w:rsid w:val="00733BEB"/>
    <w:rsid w:val="0074108F"/>
    <w:rsid w:val="00742AB8"/>
    <w:rsid w:val="00752CB2"/>
    <w:rsid w:val="0075471A"/>
    <w:rsid w:val="00760740"/>
    <w:rsid w:val="0076140F"/>
    <w:rsid w:val="00777489"/>
    <w:rsid w:val="00781543"/>
    <w:rsid w:val="007863A3"/>
    <w:rsid w:val="007863E7"/>
    <w:rsid w:val="00790335"/>
    <w:rsid w:val="007A2481"/>
    <w:rsid w:val="007A3E66"/>
    <w:rsid w:val="007D0436"/>
    <w:rsid w:val="007D2DFB"/>
    <w:rsid w:val="007D31DD"/>
    <w:rsid w:val="007D7F9C"/>
    <w:rsid w:val="007E2BF1"/>
    <w:rsid w:val="007F39DF"/>
    <w:rsid w:val="008051DF"/>
    <w:rsid w:val="00812A45"/>
    <w:rsid w:val="008176E7"/>
    <w:rsid w:val="00823363"/>
    <w:rsid w:val="0082736F"/>
    <w:rsid w:val="00827734"/>
    <w:rsid w:val="00837784"/>
    <w:rsid w:val="00837F13"/>
    <w:rsid w:val="00844D06"/>
    <w:rsid w:val="0084682B"/>
    <w:rsid w:val="00863C51"/>
    <w:rsid w:val="008675E2"/>
    <w:rsid w:val="00884FE7"/>
    <w:rsid w:val="00892228"/>
    <w:rsid w:val="008A0120"/>
    <w:rsid w:val="008B2764"/>
    <w:rsid w:val="008C1C15"/>
    <w:rsid w:val="008F0DF5"/>
    <w:rsid w:val="008F2FA7"/>
    <w:rsid w:val="008F4D8C"/>
    <w:rsid w:val="008F5CA8"/>
    <w:rsid w:val="00901466"/>
    <w:rsid w:val="0090290A"/>
    <w:rsid w:val="00904E21"/>
    <w:rsid w:val="00907289"/>
    <w:rsid w:val="00921312"/>
    <w:rsid w:val="009331E2"/>
    <w:rsid w:val="0094150E"/>
    <w:rsid w:val="009457A2"/>
    <w:rsid w:val="00952983"/>
    <w:rsid w:val="0096144E"/>
    <w:rsid w:val="0097231A"/>
    <w:rsid w:val="00981192"/>
    <w:rsid w:val="009818D3"/>
    <w:rsid w:val="00984B85"/>
    <w:rsid w:val="00985BA5"/>
    <w:rsid w:val="00992051"/>
    <w:rsid w:val="00997714"/>
    <w:rsid w:val="009A1991"/>
    <w:rsid w:val="009C7C93"/>
    <w:rsid w:val="009F20E9"/>
    <w:rsid w:val="009F464B"/>
    <w:rsid w:val="00A02212"/>
    <w:rsid w:val="00A03654"/>
    <w:rsid w:val="00A05588"/>
    <w:rsid w:val="00A123D8"/>
    <w:rsid w:val="00A1642E"/>
    <w:rsid w:val="00A16D65"/>
    <w:rsid w:val="00A322AC"/>
    <w:rsid w:val="00A455A2"/>
    <w:rsid w:val="00A55FC6"/>
    <w:rsid w:val="00A72C65"/>
    <w:rsid w:val="00A808EF"/>
    <w:rsid w:val="00A83A52"/>
    <w:rsid w:val="00A862B8"/>
    <w:rsid w:val="00A87F9C"/>
    <w:rsid w:val="00A97B55"/>
    <w:rsid w:val="00A97DD6"/>
    <w:rsid w:val="00AA28C6"/>
    <w:rsid w:val="00AA352A"/>
    <w:rsid w:val="00AB7685"/>
    <w:rsid w:val="00AB7E43"/>
    <w:rsid w:val="00AC14CE"/>
    <w:rsid w:val="00AC1AE5"/>
    <w:rsid w:val="00AC4082"/>
    <w:rsid w:val="00AD0592"/>
    <w:rsid w:val="00AE5744"/>
    <w:rsid w:val="00AE7CD7"/>
    <w:rsid w:val="00AF5A63"/>
    <w:rsid w:val="00B012D7"/>
    <w:rsid w:val="00B024D1"/>
    <w:rsid w:val="00B02AAE"/>
    <w:rsid w:val="00B058C7"/>
    <w:rsid w:val="00B06616"/>
    <w:rsid w:val="00B07EB2"/>
    <w:rsid w:val="00B15C69"/>
    <w:rsid w:val="00B21C63"/>
    <w:rsid w:val="00B24196"/>
    <w:rsid w:val="00B33120"/>
    <w:rsid w:val="00B344F7"/>
    <w:rsid w:val="00B3587F"/>
    <w:rsid w:val="00B44A0B"/>
    <w:rsid w:val="00B52B5F"/>
    <w:rsid w:val="00B54B24"/>
    <w:rsid w:val="00B5647E"/>
    <w:rsid w:val="00B56541"/>
    <w:rsid w:val="00B62DF4"/>
    <w:rsid w:val="00B80E41"/>
    <w:rsid w:val="00B861F3"/>
    <w:rsid w:val="00B9155E"/>
    <w:rsid w:val="00B91C96"/>
    <w:rsid w:val="00B93014"/>
    <w:rsid w:val="00BA6385"/>
    <w:rsid w:val="00BB4347"/>
    <w:rsid w:val="00BB5A99"/>
    <w:rsid w:val="00BC23FB"/>
    <w:rsid w:val="00BC25E8"/>
    <w:rsid w:val="00BC3306"/>
    <w:rsid w:val="00BC57DA"/>
    <w:rsid w:val="00BC6281"/>
    <w:rsid w:val="00BE036C"/>
    <w:rsid w:val="00BE0B63"/>
    <w:rsid w:val="00BE6610"/>
    <w:rsid w:val="00BF0100"/>
    <w:rsid w:val="00BF59E7"/>
    <w:rsid w:val="00C02FBE"/>
    <w:rsid w:val="00C04FCF"/>
    <w:rsid w:val="00C16A4D"/>
    <w:rsid w:val="00C172E9"/>
    <w:rsid w:val="00C25F43"/>
    <w:rsid w:val="00C309FF"/>
    <w:rsid w:val="00C32A31"/>
    <w:rsid w:val="00C34ABF"/>
    <w:rsid w:val="00C501D1"/>
    <w:rsid w:val="00C572A3"/>
    <w:rsid w:val="00C624BA"/>
    <w:rsid w:val="00C70A29"/>
    <w:rsid w:val="00C7575E"/>
    <w:rsid w:val="00C806FB"/>
    <w:rsid w:val="00C86A9C"/>
    <w:rsid w:val="00C9001D"/>
    <w:rsid w:val="00C90CE3"/>
    <w:rsid w:val="00C9313E"/>
    <w:rsid w:val="00CA1F9B"/>
    <w:rsid w:val="00CC490E"/>
    <w:rsid w:val="00CD5257"/>
    <w:rsid w:val="00CE37F8"/>
    <w:rsid w:val="00D07ECD"/>
    <w:rsid w:val="00D11CC7"/>
    <w:rsid w:val="00D27A2C"/>
    <w:rsid w:val="00D27A84"/>
    <w:rsid w:val="00D31802"/>
    <w:rsid w:val="00D37DBC"/>
    <w:rsid w:val="00D462D8"/>
    <w:rsid w:val="00D6053D"/>
    <w:rsid w:val="00D61E3E"/>
    <w:rsid w:val="00D65150"/>
    <w:rsid w:val="00D81F10"/>
    <w:rsid w:val="00D91B5F"/>
    <w:rsid w:val="00D95538"/>
    <w:rsid w:val="00D95864"/>
    <w:rsid w:val="00D96F4E"/>
    <w:rsid w:val="00DA1CE8"/>
    <w:rsid w:val="00DA48CD"/>
    <w:rsid w:val="00DA6E43"/>
    <w:rsid w:val="00DC6616"/>
    <w:rsid w:val="00DD0D85"/>
    <w:rsid w:val="00DD0F8C"/>
    <w:rsid w:val="00DD2EDE"/>
    <w:rsid w:val="00DD327A"/>
    <w:rsid w:val="00DD4268"/>
    <w:rsid w:val="00DE617E"/>
    <w:rsid w:val="00DF5970"/>
    <w:rsid w:val="00DF774B"/>
    <w:rsid w:val="00E01D72"/>
    <w:rsid w:val="00E22BC1"/>
    <w:rsid w:val="00E30E76"/>
    <w:rsid w:val="00E3157C"/>
    <w:rsid w:val="00E31EEA"/>
    <w:rsid w:val="00E34CF8"/>
    <w:rsid w:val="00E40D12"/>
    <w:rsid w:val="00E42586"/>
    <w:rsid w:val="00E46117"/>
    <w:rsid w:val="00E53799"/>
    <w:rsid w:val="00E537E6"/>
    <w:rsid w:val="00E55C91"/>
    <w:rsid w:val="00E6034F"/>
    <w:rsid w:val="00E62C57"/>
    <w:rsid w:val="00E66EB7"/>
    <w:rsid w:val="00E7463F"/>
    <w:rsid w:val="00E757B9"/>
    <w:rsid w:val="00E84FDE"/>
    <w:rsid w:val="00E8684B"/>
    <w:rsid w:val="00E8743E"/>
    <w:rsid w:val="00E900D2"/>
    <w:rsid w:val="00E948B0"/>
    <w:rsid w:val="00E97E6E"/>
    <w:rsid w:val="00EA1595"/>
    <w:rsid w:val="00EA1E88"/>
    <w:rsid w:val="00EA36AD"/>
    <w:rsid w:val="00EA4455"/>
    <w:rsid w:val="00EB6C30"/>
    <w:rsid w:val="00EB76E1"/>
    <w:rsid w:val="00EC6507"/>
    <w:rsid w:val="00ED1F4A"/>
    <w:rsid w:val="00ED3CA9"/>
    <w:rsid w:val="00EE4426"/>
    <w:rsid w:val="00EE4B6E"/>
    <w:rsid w:val="00EE51C9"/>
    <w:rsid w:val="00EF5592"/>
    <w:rsid w:val="00F05210"/>
    <w:rsid w:val="00F108AF"/>
    <w:rsid w:val="00F109C1"/>
    <w:rsid w:val="00F204F2"/>
    <w:rsid w:val="00F25A65"/>
    <w:rsid w:val="00F36888"/>
    <w:rsid w:val="00F369A0"/>
    <w:rsid w:val="00F37F75"/>
    <w:rsid w:val="00F4500D"/>
    <w:rsid w:val="00F520A0"/>
    <w:rsid w:val="00F568AE"/>
    <w:rsid w:val="00F60C21"/>
    <w:rsid w:val="00F630BC"/>
    <w:rsid w:val="00F63B8D"/>
    <w:rsid w:val="00F640B2"/>
    <w:rsid w:val="00F64D61"/>
    <w:rsid w:val="00F67F79"/>
    <w:rsid w:val="00F7311F"/>
    <w:rsid w:val="00F73EF3"/>
    <w:rsid w:val="00F930BD"/>
    <w:rsid w:val="00FA184F"/>
    <w:rsid w:val="00FA5E0E"/>
    <w:rsid w:val="00FB199B"/>
    <w:rsid w:val="00FB2201"/>
    <w:rsid w:val="00FD1096"/>
    <w:rsid w:val="00FD1FCD"/>
    <w:rsid w:val="00FD4CD4"/>
    <w:rsid w:val="00FD6D5E"/>
    <w:rsid w:val="00FE414B"/>
    <w:rsid w:val="00FF763B"/>
    <w:rsid w:val="202027F1"/>
    <w:rsid w:val="2493D6B0"/>
    <w:rsid w:val="6696BF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C496"/>
  <w15:chartTrackingRefBased/>
  <w15:docId w15:val="{179C8077-19C8-42C0-8EC6-6E987701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50E"/>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5624A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A15"/>
    <w:rPr>
      <w:color w:val="0563C1" w:themeColor="hyperlink"/>
      <w:u w:val="single"/>
    </w:rPr>
  </w:style>
  <w:style w:type="character" w:styleId="UnresolvedMention">
    <w:name w:val="Unresolved Mention"/>
    <w:basedOn w:val="DefaultParagraphFont"/>
    <w:uiPriority w:val="99"/>
    <w:semiHidden/>
    <w:unhideWhenUsed/>
    <w:rsid w:val="00464A15"/>
    <w:rPr>
      <w:color w:val="605E5C"/>
      <w:shd w:val="clear" w:color="auto" w:fill="E1DFDD"/>
    </w:rPr>
  </w:style>
  <w:style w:type="paragraph" w:styleId="ListParagraph">
    <w:name w:val="List Paragraph"/>
    <w:basedOn w:val="Normal"/>
    <w:uiPriority w:val="34"/>
    <w:qFormat/>
    <w:rsid w:val="003461C0"/>
    <w:pPr>
      <w:ind w:left="720"/>
      <w:contextualSpacing/>
    </w:pPr>
  </w:style>
  <w:style w:type="paragraph" w:styleId="Header">
    <w:name w:val="header"/>
    <w:basedOn w:val="Normal"/>
    <w:link w:val="HeaderChar"/>
    <w:uiPriority w:val="99"/>
    <w:unhideWhenUsed/>
    <w:rsid w:val="00BE036C"/>
    <w:pPr>
      <w:tabs>
        <w:tab w:val="center" w:pos="4680"/>
        <w:tab w:val="right" w:pos="9360"/>
      </w:tabs>
    </w:pPr>
  </w:style>
  <w:style w:type="character" w:customStyle="1" w:styleId="HeaderChar">
    <w:name w:val="Header Char"/>
    <w:basedOn w:val="DefaultParagraphFont"/>
    <w:link w:val="Header"/>
    <w:uiPriority w:val="99"/>
    <w:rsid w:val="00BE03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036C"/>
    <w:pPr>
      <w:tabs>
        <w:tab w:val="center" w:pos="4680"/>
        <w:tab w:val="right" w:pos="9360"/>
      </w:tabs>
    </w:pPr>
  </w:style>
  <w:style w:type="character" w:customStyle="1" w:styleId="FooterChar">
    <w:name w:val="Footer Char"/>
    <w:basedOn w:val="DefaultParagraphFont"/>
    <w:link w:val="Footer"/>
    <w:uiPriority w:val="99"/>
    <w:rsid w:val="00BE036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A5E0E"/>
    <w:rPr>
      <w:color w:val="954F72" w:themeColor="followedHyperlink"/>
      <w:u w:val="single"/>
    </w:rPr>
  </w:style>
  <w:style w:type="character" w:customStyle="1" w:styleId="Heading4Char">
    <w:name w:val="Heading 4 Char"/>
    <w:basedOn w:val="DefaultParagraphFont"/>
    <w:link w:val="Heading4"/>
    <w:uiPriority w:val="9"/>
    <w:rsid w:val="005624AD"/>
    <w:rPr>
      <w:rFonts w:ascii="Times New Roman" w:eastAsia="Times New Roman" w:hAnsi="Times New Roman" w:cs="Times New Roman"/>
      <w:b/>
      <w:bCs/>
      <w:sz w:val="24"/>
      <w:szCs w:val="24"/>
    </w:rPr>
  </w:style>
  <w:style w:type="paragraph" w:styleId="Revision">
    <w:name w:val="Revision"/>
    <w:hidden/>
    <w:uiPriority w:val="99"/>
    <w:semiHidden/>
    <w:rsid w:val="00DF597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4E8C"/>
    <w:rPr>
      <w:sz w:val="16"/>
      <w:szCs w:val="16"/>
    </w:rPr>
  </w:style>
  <w:style w:type="paragraph" w:styleId="CommentText">
    <w:name w:val="annotation text"/>
    <w:basedOn w:val="Normal"/>
    <w:link w:val="CommentTextChar"/>
    <w:uiPriority w:val="99"/>
    <w:semiHidden/>
    <w:unhideWhenUsed/>
    <w:rsid w:val="002E4E8C"/>
    <w:rPr>
      <w:sz w:val="20"/>
      <w:szCs w:val="20"/>
    </w:rPr>
  </w:style>
  <w:style w:type="character" w:customStyle="1" w:styleId="CommentTextChar">
    <w:name w:val="Comment Text Char"/>
    <w:basedOn w:val="DefaultParagraphFont"/>
    <w:link w:val="CommentText"/>
    <w:uiPriority w:val="99"/>
    <w:semiHidden/>
    <w:rsid w:val="002E4E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4E8C"/>
    <w:rPr>
      <w:b/>
      <w:bCs/>
    </w:rPr>
  </w:style>
  <w:style w:type="character" w:customStyle="1" w:styleId="CommentSubjectChar">
    <w:name w:val="Comment Subject Char"/>
    <w:basedOn w:val="CommentTextChar"/>
    <w:link w:val="CommentSubject"/>
    <w:uiPriority w:val="99"/>
    <w:semiHidden/>
    <w:rsid w:val="002E4E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nosurprises/Policies-and-Resources/Provider-requirements-and-resources" TargetMode="External"/><Relationship Id="rId18" Type="http://schemas.openxmlformats.org/officeDocument/2006/relationships/hyperlink" Target="https://www.dol.gov/agencies/ebsa/laws-and-regulations/laws/no-surprises-a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ms.gov/nosurprises" TargetMode="External"/><Relationship Id="rId17" Type="http://schemas.openxmlformats.org/officeDocument/2006/relationships/hyperlink" Target="https://www.cms.gov/files/document/model-disclosure-notice-patient-protections-against-surprise-billing-providers-facilities-health.pdf" TargetMode="External"/><Relationship Id="rId2" Type="http://schemas.openxmlformats.org/officeDocument/2006/relationships/customXml" Target="../customXml/item2.xml"/><Relationship Id="rId16" Type="http://schemas.openxmlformats.org/officeDocument/2006/relationships/hyperlink" Target="https://www.cms.gov/files/document/standard-notice-consent-forms-nonparticipating-providers-emergency-facilities-regarding-consumer.pdf" TargetMode="External"/><Relationship Id="rId20" Type="http://schemas.openxmlformats.org/officeDocument/2006/relationships/hyperlink" Target="https://www.cms.gov/files/document/memo-no-surprises-act-phone-number-and-website-url-clean-508-mm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nosurprises" TargetMode="External"/><Relationship Id="rId5" Type="http://schemas.openxmlformats.org/officeDocument/2006/relationships/numbering" Target="numbering.xml"/><Relationship Id="rId15" Type="http://schemas.openxmlformats.org/officeDocument/2006/relationships/hyperlink" Target="https://www.cms.gov/CCIIO/Resources/Regulations-and-Guidance/Downloads/Technical-Guidance-CY2022-Fee-Guidance-Federal-Independent-Dispute-Resolution-Process-NSA.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ms.gov/regulations-and-guidancelegislationpaperworkreductionactof1995pra-listing/cms-107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nosurprises/Policies-and-Resources/Overview-of-rules-fact-shee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6417ec-de13-4da0-b4ae-6498de0ae170">
      <UserInfo>
        <DisplayName>Webb, Brian R.</DisplayName>
        <AccountId>54</AccountId>
        <AccountType/>
      </UserInfo>
      <UserInfo>
        <DisplayName>Touschner, Joseph</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1FFE666137624DBD990529B435E7FE" ma:contentTypeVersion="8" ma:contentTypeDescription="Create a new document." ma:contentTypeScope="" ma:versionID="2e3397899b3a4df576d3a512a1dd1acb">
  <xsd:schema xmlns:xsd="http://www.w3.org/2001/XMLSchema" xmlns:xs="http://www.w3.org/2001/XMLSchema" xmlns:p="http://schemas.microsoft.com/office/2006/metadata/properties" xmlns:ns2="5624f10e-bf46-4f43-954e-97bc22b3a42d" xmlns:ns3="3b6417ec-de13-4da0-b4ae-6498de0ae170" targetNamespace="http://schemas.microsoft.com/office/2006/metadata/properties" ma:root="true" ma:fieldsID="606364db19360467db90791bf860e24d" ns2:_="" ns3:_="">
    <xsd:import namespace="5624f10e-bf46-4f43-954e-97bc22b3a42d"/>
    <xsd:import namespace="3b6417ec-de13-4da0-b4ae-6498de0ae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4f10e-bf46-4f43-954e-97bc22b3a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417ec-de13-4da0-b4ae-6498de0ae1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F16A0-3AFD-4DB8-BF06-D630F75A2B82}">
  <ds:schemaRef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5624f10e-bf46-4f43-954e-97bc22b3a42d"/>
    <ds:schemaRef ds:uri="http://schemas.microsoft.com/office/infopath/2007/PartnerControls"/>
    <ds:schemaRef ds:uri="3b6417ec-de13-4da0-b4ae-6498de0ae170"/>
    <ds:schemaRef ds:uri="http://www.w3.org/XML/1998/namespace"/>
  </ds:schemaRefs>
</ds:datastoreItem>
</file>

<file path=customXml/itemProps2.xml><?xml version="1.0" encoding="utf-8"?>
<ds:datastoreItem xmlns:ds="http://schemas.openxmlformats.org/officeDocument/2006/customXml" ds:itemID="{0CCD479B-9889-464C-868E-59CEBD9C544A}">
  <ds:schemaRefs>
    <ds:schemaRef ds:uri="http://schemas.openxmlformats.org/officeDocument/2006/bibliography"/>
  </ds:schemaRefs>
</ds:datastoreItem>
</file>

<file path=customXml/itemProps3.xml><?xml version="1.0" encoding="utf-8"?>
<ds:datastoreItem xmlns:ds="http://schemas.openxmlformats.org/officeDocument/2006/customXml" ds:itemID="{A2FCEE4D-67DD-4C18-A7CD-49080A828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4f10e-bf46-4f43-954e-97bc22b3a42d"/>
    <ds:schemaRef ds:uri="3b6417ec-de13-4da0-b4ae-6498de0ae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DDDC2-25B9-42DF-971F-F6E113104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Links>
    <vt:vector size="54" baseType="variant">
      <vt:variant>
        <vt:i4>4128817</vt:i4>
      </vt:variant>
      <vt:variant>
        <vt:i4>24</vt:i4>
      </vt:variant>
      <vt:variant>
        <vt:i4>0</vt:i4>
      </vt:variant>
      <vt:variant>
        <vt:i4>5</vt:i4>
      </vt:variant>
      <vt:variant>
        <vt:lpwstr>https://www.cms.gov/files/document/memo-no-surprises-act-phone-number-and-website-url-clean-508-mm2.pdf</vt:lpwstr>
      </vt:variant>
      <vt:variant>
        <vt:lpwstr/>
      </vt:variant>
      <vt:variant>
        <vt:i4>7995430</vt:i4>
      </vt:variant>
      <vt:variant>
        <vt:i4>21</vt:i4>
      </vt:variant>
      <vt:variant>
        <vt:i4>0</vt:i4>
      </vt:variant>
      <vt:variant>
        <vt:i4>5</vt:i4>
      </vt:variant>
      <vt:variant>
        <vt:lpwstr>https://www.cms.gov/regulations-and-guidancelegislationpaperworkreductionactof1995pra-listing/cms-10791</vt:lpwstr>
      </vt:variant>
      <vt:variant>
        <vt:lpwstr/>
      </vt:variant>
      <vt:variant>
        <vt:i4>5767245</vt:i4>
      </vt:variant>
      <vt:variant>
        <vt:i4>18</vt:i4>
      </vt:variant>
      <vt:variant>
        <vt:i4>0</vt:i4>
      </vt:variant>
      <vt:variant>
        <vt:i4>5</vt:i4>
      </vt:variant>
      <vt:variant>
        <vt:lpwstr>https://www.dol.gov/agencies/ebsa/laws-and-regulations/laws/no-surprises-act</vt:lpwstr>
      </vt:variant>
      <vt:variant>
        <vt:lpwstr/>
      </vt:variant>
      <vt:variant>
        <vt:i4>3604588</vt:i4>
      </vt:variant>
      <vt:variant>
        <vt:i4>15</vt:i4>
      </vt:variant>
      <vt:variant>
        <vt:i4>0</vt:i4>
      </vt:variant>
      <vt:variant>
        <vt:i4>5</vt:i4>
      </vt:variant>
      <vt:variant>
        <vt:lpwstr>https://www.cms.gov/files/document/model-disclosure-notice-patient-protections-against-surprise-billing-providers-facilities-health.pdf</vt:lpwstr>
      </vt:variant>
      <vt:variant>
        <vt:lpwstr/>
      </vt:variant>
      <vt:variant>
        <vt:i4>2949183</vt:i4>
      </vt:variant>
      <vt:variant>
        <vt:i4>12</vt:i4>
      </vt:variant>
      <vt:variant>
        <vt:i4>0</vt:i4>
      </vt:variant>
      <vt:variant>
        <vt:i4>5</vt:i4>
      </vt:variant>
      <vt:variant>
        <vt:lpwstr>https://www.cms.gov/files/document/standard-notice-consent-forms-nonparticipating-providers-emergency-facilities-regarding-consumer.pdf</vt:lpwstr>
      </vt:variant>
      <vt:variant>
        <vt:lpwstr/>
      </vt:variant>
      <vt:variant>
        <vt:i4>1048648</vt:i4>
      </vt:variant>
      <vt:variant>
        <vt:i4>9</vt:i4>
      </vt:variant>
      <vt:variant>
        <vt:i4>0</vt:i4>
      </vt:variant>
      <vt:variant>
        <vt:i4>5</vt:i4>
      </vt:variant>
      <vt:variant>
        <vt:lpwstr>https://www.cms.gov/CCIIO/Resources/Regulations-and-Guidance/Downloads/Technical-Guidance-CY2022-Fee-Guidance-Federal-Independent-Dispute-Resolution-Process-NSA.pdf</vt:lpwstr>
      </vt:variant>
      <vt:variant>
        <vt:lpwstr/>
      </vt:variant>
      <vt:variant>
        <vt:i4>1441800</vt:i4>
      </vt:variant>
      <vt:variant>
        <vt:i4>6</vt:i4>
      </vt:variant>
      <vt:variant>
        <vt:i4>0</vt:i4>
      </vt:variant>
      <vt:variant>
        <vt:i4>5</vt:i4>
      </vt:variant>
      <vt:variant>
        <vt:lpwstr>https://www.cms.gov/nosurprises/Policies-and-Resources/Overview-of-rules-fact-sheets</vt:lpwstr>
      </vt:variant>
      <vt:variant>
        <vt:lpwstr/>
      </vt:variant>
      <vt:variant>
        <vt:i4>2949167</vt:i4>
      </vt:variant>
      <vt:variant>
        <vt:i4>3</vt:i4>
      </vt:variant>
      <vt:variant>
        <vt:i4>0</vt:i4>
      </vt:variant>
      <vt:variant>
        <vt:i4>5</vt:i4>
      </vt:variant>
      <vt:variant>
        <vt:lpwstr>https://www.cms.gov/nosurprises</vt:lpwstr>
      </vt:variant>
      <vt:variant>
        <vt:lpwstr/>
      </vt:variant>
      <vt:variant>
        <vt:i4>2949167</vt:i4>
      </vt:variant>
      <vt:variant>
        <vt:i4>0</vt:i4>
      </vt:variant>
      <vt:variant>
        <vt:i4>0</vt:i4>
      </vt:variant>
      <vt:variant>
        <vt:i4>5</vt:i4>
      </vt:variant>
      <vt:variant>
        <vt:lpwstr>https://www.cms.gov/nosurprises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Jolie H.</dc:creator>
  <cp:keywords/>
  <dc:description/>
  <cp:lastModifiedBy>Webb, Brian R.</cp:lastModifiedBy>
  <cp:revision>2</cp:revision>
  <dcterms:created xsi:type="dcterms:W3CDTF">2021-12-06T14:42:00Z</dcterms:created>
  <dcterms:modified xsi:type="dcterms:W3CDTF">2021-12-06T14:42:00Z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0x0101000F1FFE666137624DBD990529B435E7FE</vt:lpwstr>
  </property>
</Properties>
</file>