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93D" w:rsidRDefault="000A69F4">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71980B15-5C5F-43DD-ACB4-69B1AFBA417B" style="width:450.6pt;height:320.3pt">
            <v:imagedata r:id="rId8" o:title=""/>
          </v:shape>
        </w:pict>
      </w:r>
    </w:p>
    <w:bookmarkEnd w:id="0"/>
    <w:p w:rsidR="005B393D" w:rsidRDefault="005B393D">
      <w:pPr>
        <w:rPr>
          <w:noProof/>
        </w:rPr>
        <w:sectPr w:rsidR="005B393D">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5B393D" w:rsidRDefault="000A69F4">
      <w:pPr>
        <w:jc w:val="center"/>
        <w:rPr>
          <w:b/>
          <w:noProof/>
        </w:rPr>
      </w:pPr>
      <w:r>
        <w:rPr>
          <w:b/>
          <w:noProof/>
        </w:rPr>
        <w:lastRenderedPageBreak/>
        <w:t>Komission tiedonanto Euroopan parlamentille ja neuvostolle</w:t>
      </w:r>
    </w:p>
    <w:p w:rsidR="005B393D" w:rsidRDefault="000A69F4">
      <w:pPr>
        <w:spacing w:after="720"/>
        <w:jc w:val="center"/>
        <w:rPr>
          <w:b/>
          <w:noProof/>
        </w:rPr>
      </w:pPr>
      <w:r>
        <w:rPr>
          <w:b/>
          <w:noProof/>
        </w:rPr>
        <w:t>Tietosuojasäännöt luottamuksen rakentajana EU:ssa ja sen ulkopuolella – tilannekatsaus</w:t>
      </w:r>
    </w:p>
    <w:p w:rsidR="005B393D" w:rsidRDefault="000A69F4">
      <w:pPr>
        <w:pStyle w:val="ListParagraph"/>
        <w:numPr>
          <w:ilvl w:val="0"/>
          <w:numId w:val="71"/>
        </w:numPr>
        <w:spacing w:after="240" w:line="240" w:lineRule="auto"/>
        <w:jc w:val="left"/>
        <w:rPr>
          <w:b/>
          <w:noProof/>
        </w:rPr>
      </w:pPr>
      <w:r>
        <w:rPr>
          <w:b/>
          <w:noProof/>
        </w:rPr>
        <w:t>Johdanto</w:t>
      </w:r>
    </w:p>
    <w:p w:rsidR="005B393D" w:rsidRDefault="000A69F4">
      <w:pPr>
        <w:rPr>
          <w:noProof/>
        </w:rPr>
      </w:pPr>
      <w:r>
        <w:rPr>
          <w:noProof/>
        </w:rPr>
        <w:t>Yleistä tietosuoja-asetusta</w:t>
      </w:r>
      <w:r>
        <w:rPr>
          <w:rStyle w:val="FootnoteReference"/>
          <w:noProof/>
        </w:rPr>
        <w:footnoteReference w:id="2"/>
      </w:r>
      <w:r>
        <w:rPr>
          <w:noProof/>
        </w:rPr>
        <w:t>, jäljempänä ’asetus’, on sovellettu yli vuoden ajan koko Euroopan unionissa. Asetus on keskeinen osa johdonmukaista ja uudistettua EU:n tietosuojakokonaisuutta, joka sisältää myös lainvalvontatarkoituksessa käsiteltyje</w:t>
      </w:r>
      <w:r>
        <w:rPr>
          <w:noProof/>
        </w:rPr>
        <w:t>n henkilötietojen suojaa koskevan direktiivin</w:t>
      </w:r>
      <w:r>
        <w:rPr>
          <w:rStyle w:val="FootnoteReference"/>
          <w:noProof/>
        </w:rPr>
        <w:footnoteReference w:id="3"/>
      </w:r>
      <w:r>
        <w:rPr>
          <w:noProof/>
        </w:rPr>
        <w:t xml:space="preserve"> ja unionin toimielinten, elinten ja laitosten tietosuoja-asetuksen</w:t>
      </w:r>
      <w:r>
        <w:rPr>
          <w:rStyle w:val="FootnoteReference"/>
          <w:noProof/>
        </w:rPr>
        <w:footnoteReference w:id="4"/>
      </w:r>
      <w:r>
        <w:rPr>
          <w:noProof/>
        </w:rPr>
        <w:t>. Kehystä täydennetään vielä sähköisen viestinnän tietosuoja-asetuksella, jonka lainsäädäntömenettely on parhaillaan meneillään.</w:t>
      </w:r>
    </w:p>
    <w:p w:rsidR="005B393D" w:rsidRDefault="000A69F4">
      <w:pPr>
        <w:rPr>
          <w:noProof/>
        </w:rPr>
      </w:pPr>
      <w:r>
        <w:rPr>
          <w:noProof/>
        </w:rPr>
        <w:t>Vahvoja tieto</w:t>
      </w:r>
      <w:r>
        <w:rPr>
          <w:noProof/>
        </w:rPr>
        <w:t>suojasääntöjä tarvitaan, jotta voidaan taata perusoikeus henkilötietojen suojaan. Tietosuojasäännöillä on keskeinen merkitys demokraattisessa yhteiskunnassa</w:t>
      </w:r>
      <w:r>
        <w:rPr>
          <w:rStyle w:val="FootnoteReference"/>
          <w:noProof/>
        </w:rPr>
        <w:footnoteReference w:id="5"/>
      </w:r>
      <w:r>
        <w:rPr>
          <w:noProof/>
        </w:rPr>
        <w:t>, ja ne ovat tärkeä osa yhä datavetoisemmaksi muuttuvaa taloutta. EU pyrkii hyödyntämään digitalisa</w:t>
      </w:r>
      <w:r>
        <w:rPr>
          <w:noProof/>
        </w:rPr>
        <w:t>ation tarjoamat lukuisat palveluihin, työpaikkoihin ja innovointiin liittyvät mahdollisuudet, mutta samaan aikaan se puuttuu myös niistä aiheutuviin haasteisiin. Julkisessa keskustelussa tuodaan yhä enemmän esiin tietoturvaongelmia, joista vain muutamia es</w:t>
      </w:r>
      <w:r>
        <w:rPr>
          <w:noProof/>
        </w:rPr>
        <w:t>imerkkejä ovat identiteettivarkaudet, arkaluonteisten tietojen vuodot, henkilöiden syrjintä, sisäänrakennetut vääristymät, laittoman sisällön jakaminen ja tungettelevien valvontaohjelmien kehittäminen. Keskustelussa käy selväksi, että ihmiset odottavat, et</w:t>
      </w:r>
      <w:r>
        <w:rPr>
          <w:noProof/>
        </w:rPr>
        <w:t xml:space="preserve">tä heidän tietonsa suojataan. </w:t>
      </w:r>
    </w:p>
    <w:p w:rsidR="005B393D" w:rsidRDefault="000A69F4">
      <w:pPr>
        <w:rPr>
          <w:noProof/>
        </w:rPr>
      </w:pPr>
      <w:r>
        <w:rPr>
          <w:noProof/>
        </w:rPr>
        <w:t>Tietosuojasta on tullut aidosti maailmanlaajuinen ilmiö, sillä ihmiset eri puolilla maailmaa vaalivat ja arvostavat yhä enemmän tietojensa suojaamista ja turvallisuutta. Monet valtiot ovat jo ottaneet tai ovat parhaillaan ott</w:t>
      </w:r>
      <w:r>
        <w:rPr>
          <w:noProof/>
        </w:rPr>
        <w:t xml:space="preserve">amassa käyttöön kattavia tietosuojasääntöjä, jotka perustuvat samankaltaisiin periaatteisiin kuin EU:n tietosuoja-asetus. Näin tietosuojasäännöt lähentyvät </w:t>
      </w:r>
      <w:r>
        <w:rPr>
          <w:noProof/>
        </w:rPr>
        <w:lastRenderedPageBreak/>
        <w:t xml:space="preserve">toisiaan maailmanlaajuisesti. Tämä tarjoaa uusia mahdollisuuksia helpottaa kaupallisten toimijoiden </w:t>
      </w:r>
      <w:r>
        <w:rPr>
          <w:noProof/>
        </w:rPr>
        <w:t>tai viranomaisten välisiä tietovirtoja. Samalla voidaan parantaa henkilötietojen suojan tasoa EU:ssa ja muualla maailmassa.</w:t>
      </w:r>
    </w:p>
    <w:p w:rsidR="005B393D" w:rsidRDefault="000A69F4">
      <w:pPr>
        <w:rPr>
          <w:noProof/>
        </w:rPr>
      </w:pPr>
      <w:r>
        <w:rPr>
          <w:noProof/>
        </w:rPr>
        <w:t>Tietosuojaan suhtaudutaan vakavammin kuin koskaan aiemmin, ja sillä on laaja-alaisia vaikutuksia eri sidosryhmiin ja toimialoihin. K</w:t>
      </w:r>
      <w:r>
        <w:rPr>
          <w:noProof/>
        </w:rPr>
        <w:t xml:space="preserve">omission vakaana tavoitteena on saada uusi tietosuojajärjestelmä onnistuneesti käyttöön EU:ssa ja tukea sen kaikkien osa-alueiden täyden toimintavalmiuden saavuttamista. Tässä tiedonannossa komissio tarkastelee tuloksia, jotka on tähän mennessä saavutettu </w:t>
      </w:r>
      <w:r>
        <w:rPr>
          <w:noProof/>
        </w:rPr>
        <w:t xml:space="preserve">tietosuojasääntöjen yhdenmukaisessa täytäntöönpanossa koko EU:ssa, uuden hallintojärjestelmän toimintaa, kansalaisiin ja yrityksiin kohdistuneita vaikutuksia sekä EU:n toimia tietosuojajärjestelmien maailmanlaajuisen lähentymisen edistämiseksi. Tiedonanto </w:t>
      </w:r>
      <w:r>
        <w:rPr>
          <w:noProof/>
        </w:rPr>
        <w:t>on jatkoa tammikuussa 2018 annetulle asetuksen soveltamista koskevalle komission tiedonannolle</w:t>
      </w:r>
      <w:r>
        <w:rPr>
          <w:rStyle w:val="FootnoteReference"/>
          <w:noProof/>
        </w:rPr>
        <w:footnoteReference w:id="6"/>
      </w:r>
      <w:r>
        <w:rPr>
          <w:noProof/>
        </w:rPr>
        <w:t>. Siinä on hyödynnetty eri sidosryhmistä koostuneen asiantuntijaryhmän</w:t>
      </w:r>
      <w:r>
        <w:rPr>
          <w:rStyle w:val="FootnoteReference"/>
          <w:noProof/>
        </w:rPr>
        <w:footnoteReference w:id="7"/>
      </w:r>
      <w:r>
        <w:rPr>
          <w:noProof/>
        </w:rPr>
        <w:t xml:space="preserve"> työtä, erityisesti ryhmän panosta tilannekatsaukseen ensimmäisen soveltamisvuoden jälkeen</w:t>
      </w:r>
      <w:r>
        <w:rPr>
          <w:noProof/>
        </w:rPr>
        <w:t>, sekä komission 13. kesäkuuta 2019 järjestämässä tilannekatsaustapahtumassa käytyjä keskusteluja</w:t>
      </w:r>
      <w:r>
        <w:rPr>
          <w:rStyle w:val="FootnoteReference"/>
          <w:noProof/>
        </w:rPr>
        <w:footnoteReference w:id="8"/>
      </w:r>
      <w:r>
        <w:rPr>
          <w:noProof/>
        </w:rPr>
        <w:t>. Lisäksi tätä tiedonantoa hyödynnetään arvioinnissa, joka komission on määrä toteuttaa toukokuuhun 2020 mennessä</w:t>
      </w:r>
      <w:r>
        <w:rPr>
          <w:rStyle w:val="FootnoteReference"/>
          <w:noProof/>
        </w:rPr>
        <w:footnoteReference w:id="9"/>
      </w:r>
      <w:r>
        <w:rPr>
          <w:noProof/>
        </w:rPr>
        <w:t xml:space="preserve">. </w:t>
      </w:r>
    </w:p>
    <w:p w:rsidR="005B393D" w:rsidRDefault="000A69F4">
      <w:pPr>
        <w:rPr>
          <w:noProof/>
        </w:rPr>
      </w:pPr>
      <w:r>
        <w:rPr>
          <w:noProof/>
        </w:rPr>
        <w:t>Tietosuojaa koskeva EU:n oikeuskehys on y</w:t>
      </w:r>
      <w:r>
        <w:rPr>
          <w:noProof/>
        </w:rPr>
        <w:t xml:space="preserve">ksi kulmakivistä EU:n toimintamallissa, jossa innovointia lähestytään ihmiskeskeisesti. Siitä on tulossa osa toimintapolitiikkojen sääntelykenttää, joka kattaa laajenevasti muun muassa terveyden ja tutkimuksen, tekoälyn, liikenteen, energian, kilpailun ja </w:t>
      </w:r>
      <w:r>
        <w:rPr>
          <w:noProof/>
        </w:rPr>
        <w:t>lainvalvonnan. Komissio on johdonmukaisesti korostanut uusien tietosuojasääntöjen asianmukaisen täytäntöönpanon ja noudattamisen valvonnan merkitystä, mikä käy ilmi tammikuussa 2018 annetusta asetuksen soveltamista koskevasta komission tiedonannosta sekä s</w:t>
      </w:r>
      <w:r>
        <w:rPr>
          <w:noProof/>
        </w:rPr>
        <w:t>yyskuussa 2018 julkaistuista komission ohjeista, jotka koskevat henkilötietojen käyttöä vaalien yhteydessä</w:t>
      </w:r>
      <w:r>
        <w:rPr>
          <w:rStyle w:val="FootnoteReference"/>
          <w:noProof/>
        </w:rPr>
        <w:footnoteReference w:id="10"/>
      </w:r>
      <w:r>
        <w:rPr>
          <w:noProof/>
        </w:rPr>
        <w:t>. Nyt annettavaa tiedonantoa laadittaessa tämän tavoitteen saavuttamisessa on edistytty huomattavasti, mutta lisätoimia tarvitaan vielä, jotta asetus</w:t>
      </w:r>
      <w:r>
        <w:rPr>
          <w:noProof/>
        </w:rPr>
        <w:t xml:space="preserve"> toimisi kaikilta osin käytännössä.</w:t>
      </w:r>
    </w:p>
    <w:p w:rsidR="005B393D" w:rsidRDefault="000A69F4" w:rsidP="000A69F4">
      <w:pPr>
        <w:pStyle w:val="Heading1"/>
        <w:keepNext/>
        <w:numPr>
          <w:ilvl w:val="0"/>
          <w:numId w:val="71"/>
        </w:numPr>
        <w:ind w:left="1077"/>
        <w:rPr>
          <w:noProof/>
        </w:rPr>
      </w:pPr>
      <w:r>
        <w:rPr>
          <w:noProof/>
        </w:rPr>
        <w:t xml:space="preserve">Yksi maanosa, yksi lainsäädäntö </w:t>
      </w:r>
      <w:r>
        <w:rPr>
          <w:noProof/>
        </w:rPr>
        <w:noBreakHyphen/>
        <w:t>periaate: tietosuojakehys on käytössä jäs</w:t>
      </w:r>
      <w:bookmarkStart w:id="1" w:name="_GoBack"/>
      <w:bookmarkEnd w:id="1"/>
      <w:r>
        <w:rPr>
          <w:noProof/>
        </w:rPr>
        <w:t>envaltioissa</w:t>
      </w:r>
    </w:p>
    <w:p w:rsidR="005B393D" w:rsidRDefault="000A69F4">
      <w:pPr>
        <w:rPr>
          <w:noProof/>
        </w:rPr>
      </w:pPr>
      <w:r>
        <w:rPr>
          <w:noProof/>
        </w:rPr>
        <w:lastRenderedPageBreak/>
        <w:t>Yksi asetuksen keskeisistä tavoitteista oli päästä eroon toimintaympäristön hajanaisuudesta, sillä edellisen tietosuojadirektiivin</w:t>
      </w:r>
      <w:r>
        <w:rPr>
          <w:rStyle w:val="FootnoteReference"/>
          <w:noProof/>
        </w:rPr>
        <w:footnoteReference w:id="11"/>
      </w:r>
      <w:r>
        <w:rPr>
          <w:noProof/>
        </w:rPr>
        <w:t xml:space="preserve"> aikana toimintaympäristöön kuului 28 erilaista kansallista lakia, ja tuoda oikeusvarmuutta yksilöille ja yrityksille koko EU:ssa. Tämä tavoite on pääosin saavutettu.</w:t>
      </w:r>
    </w:p>
    <w:p w:rsidR="005B393D" w:rsidRDefault="000A69F4">
      <w:pPr>
        <w:jc w:val="left"/>
        <w:rPr>
          <w:i/>
          <w:iCs/>
          <w:noProof/>
        </w:rPr>
      </w:pPr>
      <w:r>
        <w:rPr>
          <w:i/>
          <w:iCs/>
          <w:noProof/>
        </w:rPr>
        <w:t xml:space="preserve">Oikeuskehyksen yhdenmukaistaminen </w:t>
      </w:r>
    </w:p>
    <w:p w:rsidR="005B393D" w:rsidRDefault="000A69F4">
      <w:pPr>
        <w:rPr>
          <w:noProof/>
        </w:rPr>
      </w:pPr>
      <w:r>
        <w:rPr>
          <w:noProof/>
        </w:rPr>
        <w:t>Vaikka asetusta sovelletaan sellaisenaan jäsenvaltiois</w:t>
      </w:r>
      <w:r>
        <w:rPr>
          <w:noProof/>
        </w:rPr>
        <w:t>sa, siinä edellytetään, että jäsenvaltiot toteuttavat joitakin oikeudellisia toimia kansallisella tasolla. Jäsenvaltioiden täytyi muun muassa perustaa kansalliset tietosuojaviranomaiset ja myöntää niille tarvittavat valtuudet</w:t>
      </w:r>
      <w:r>
        <w:rPr>
          <w:rStyle w:val="FootnoteReference"/>
          <w:noProof/>
        </w:rPr>
        <w:footnoteReference w:id="12"/>
      </w:r>
      <w:r>
        <w:rPr>
          <w:noProof/>
        </w:rPr>
        <w:t>, vahvistaa säännöt, jotka kos</w:t>
      </w:r>
      <w:r>
        <w:rPr>
          <w:noProof/>
        </w:rPr>
        <w:t>kevat erityiskysymyksiä, kuten henkilötietojen suojan sekä sananvapauden ja tiedonvälityksen vapauden yhteensovittamista, sekä muuttaa alakohtaista lainsäädäntöä, johon liittyy tietosuojanäkökohtia, tai kumota se. Tätä tiedonantoa laadittaessa kaikki jäsen</w:t>
      </w:r>
      <w:r>
        <w:rPr>
          <w:noProof/>
        </w:rPr>
        <w:t>valtiot kolmea lukuun ottamatta</w:t>
      </w:r>
      <w:r>
        <w:rPr>
          <w:rStyle w:val="FootnoteReference"/>
          <w:noProof/>
        </w:rPr>
        <w:footnoteReference w:id="13"/>
      </w:r>
      <w:r>
        <w:rPr>
          <w:noProof/>
        </w:rPr>
        <w:t xml:space="preserve"> ovat päivittäneet kansallisen tietosuojalakinsa. Alakohtaisten lakien mukauttaminen on yhä kesken kansallisella tasolla. Sen jälkeen kun asetus sisällytettiin Euroopan talousalueesta tehtyyn sopimukseen, sitä alettiin sovel</w:t>
      </w:r>
      <w:r>
        <w:rPr>
          <w:noProof/>
        </w:rPr>
        <w:t xml:space="preserve">taa myös Norjaan, Islantiin ja Liechtensteiniin, jotka ovat niin ikään hyväksyneet omat kansalliset tietosuojalakinsa. </w:t>
      </w:r>
    </w:p>
    <w:p w:rsidR="005B393D" w:rsidRDefault="000A69F4">
      <w:pPr>
        <w:rPr>
          <w:noProof/>
        </w:rPr>
      </w:pPr>
      <w:r>
        <w:rPr>
          <w:noProof/>
        </w:rPr>
        <w:t>Sidosryhmät vaativat kuitenkin jopa tiukempaa yhdenmukaistamista tietyissä asioissa</w:t>
      </w:r>
      <w:r>
        <w:rPr>
          <w:rStyle w:val="FootnoteReference"/>
          <w:noProof/>
        </w:rPr>
        <w:footnoteReference w:id="14"/>
      </w:r>
      <w:r>
        <w:rPr>
          <w:noProof/>
        </w:rPr>
        <w:t xml:space="preserve">. Asetuksella annetaankin jäsenvaltioille jonkin </w:t>
      </w:r>
      <w:r>
        <w:rPr>
          <w:noProof/>
        </w:rPr>
        <w:t>verran liikkumavaraa täsmentää sen soveltamista tietyiltä osin. Tällaisia seikkoja ovat esimerkiksi ikäraja, jonka mukaisesti lapset saavat antaa suostumuksensa verkkopalveluihin</w:t>
      </w:r>
      <w:r>
        <w:rPr>
          <w:rStyle w:val="FootnoteReference"/>
          <w:noProof/>
        </w:rPr>
        <w:footnoteReference w:id="15"/>
      </w:r>
      <w:r>
        <w:rPr>
          <w:noProof/>
        </w:rPr>
        <w:t>, ja henkilötietojen käsittely lääketieteen ja kansanterveyden kaltaisilla al</w:t>
      </w:r>
      <w:r>
        <w:rPr>
          <w:noProof/>
        </w:rPr>
        <w:t xml:space="preserve">oilla. Jäsenvaltioiden toimia sääntelee tässä yhteydessä kaksi tekijää: </w:t>
      </w:r>
    </w:p>
    <w:p w:rsidR="005B393D" w:rsidRDefault="000A69F4">
      <w:pPr>
        <w:pStyle w:val="ListParagraph"/>
        <w:numPr>
          <w:ilvl w:val="0"/>
          <w:numId w:val="70"/>
        </w:numPr>
        <w:ind w:left="567" w:hanging="425"/>
        <w:rPr>
          <w:noProof/>
        </w:rPr>
      </w:pPr>
      <w:r>
        <w:rPr>
          <w:noProof/>
        </w:rPr>
        <w:t>kaikkien kansallisten täsmentävien säädösten on oltava perusoikeuskirjan</w:t>
      </w:r>
      <w:r>
        <w:rPr>
          <w:rStyle w:val="FootnoteReference"/>
          <w:noProof/>
        </w:rPr>
        <w:footnoteReference w:id="16"/>
      </w:r>
      <w:r>
        <w:rPr>
          <w:noProof/>
        </w:rPr>
        <w:t xml:space="preserve"> mukaisia (eivätkä ne saa mennä perusoikeuskirjaan perustuvassa asetuksessa säädettyjä rajoja pidemmälle)</w:t>
      </w:r>
    </w:p>
    <w:p w:rsidR="005B393D" w:rsidRDefault="000A69F4">
      <w:pPr>
        <w:pStyle w:val="ListParagraph"/>
        <w:numPr>
          <w:ilvl w:val="0"/>
          <w:numId w:val="70"/>
        </w:numPr>
        <w:ind w:left="567" w:hanging="425"/>
        <w:rPr>
          <w:noProof/>
        </w:rPr>
      </w:pPr>
      <w:r>
        <w:rPr>
          <w:noProof/>
        </w:rPr>
        <w:t>toim</w:t>
      </w:r>
      <w:r>
        <w:rPr>
          <w:noProof/>
        </w:rPr>
        <w:t>et eivät saa heikentää henkilötietojen vapaata liikkuvuutta EU:ssa</w:t>
      </w:r>
      <w:r>
        <w:rPr>
          <w:rStyle w:val="FootnoteReference"/>
          <w:noProof/>
        </w:rPr>
        <w:footnoteReference w:id="17"/>
      </w:r>
      <w:r>
        <w:rPr>
          <w:noProof/>
        </w:rPr>
        <w:t>.</w:t>
      </w:r>
    </w:p>
    <w:p w:rsidR="005B393D" w:rsidRDefault="000A69F4">
      <w:pPr>
        <w:rPr>
          <w:noProof/>
        </w:rPr>
      </w:pPr>
      <w:r>
        <w:rPr>
          <w:noProof/>
        </w:rPr>
        <w:t>Jäsenvaltiot ovat joissakin tapauksissa ottaneet asetuksen lisäksi käyttöön kansallisia vaatimuksia, erityisesti antamalla useita alakohtaisia lakeja. Tämä aiheuttaa hajanaisuutta ja tarp</w:t>
      </w:r>
      <w:r>
        <w:rPr>
          <w:noProof/>
        </w:rPr>
        <w:t xml:space="preserve">eettomia rasitteita. Yksi esimerkki jäsenvaltioiden asetuksen lisäksi käyttöön ottamista vaatimuksista on Saksan lainsäädännössä vahvistettu velvollisuus nimittää tietosuojavastaava </w:t>
      </w:r>
      <w:r>
        <w:rPr>
          <w:noProof/>
        </w:rPr>
        <w:lastRenderedPageBreak/>
        <w:t>kaikkiin vähintään 20 työntekijän yrityksiin, jotka suorittavat jatkuvasti</w:t>
      </w:r>
      <w:r>
        <w:rPr>
          <w:noProof/>
        </w:rPr>
        <w:t xml:space="preserve"> henkilötietojen automaattista käsittelyä.</w:t>
      </w:r>
    </w:p>
    <w:p w:rsidR="005B393D" w:rsidRDefault="000A69F4">
      <w:pPr>
        <w:rPr>
          <w:i/>
          <w:iCs/>
          <w:noProof/>
        </w:rPr>
      </w:pPr>
      <w:r>
        <w:rPr>
          <w:i/>
          <w:iCs/>
          <w:noProof/>
        </w:rPr>
        <w:t>Toimien jatkaminen yhdenmukaistamisen edistämiseksi</w:t>
      </w:r>
    </w:p>
    <w:p w:rsidR="005B393D" w:rsidRDefault="000A69F4">
      <w:pPr>
        <w:rPr>
          <w:noProof/>
        </w:rPr>
      </w:pPr>
      <w:r>
        <w:rPr>
          <w:noProof/>
        </w:rPr>
        <w:t>Komissio käy kansallisten viranomaisten kanssa kahdenvälisiä vuoropuheluja, joissa se kiinnittää erityistä huomiota seuraaviin seikkoihin liittyviin kansallisiin</w:t>
      </w:r>
      <w:r>
        <w:rPr>
          <w:noProof/>
        </w:rPr>
        <w:t xml:space="preserve"> toimiin:</w:t>
      </w:r>
    </w:p>
    <w:p w:rsidR="005B393D" w:rsidRDefault="000A69F4">
      <w:pPr>
        <w:pStyle w:val="ListParagraph"/>
        <w:numPr>
          <w:ilvl w:val="0"/>
          <w:numId w:val="65"/>
        </w:numPr>
        <w:ind w:left="426" w:hanging="284"/>
        <w:rPr>
          <w:noProof/>
        </w:rPr>
      </w:pPr>
      <w:r>
        <w:rPr>
          <w:noProof/>
        </w:rPr>
        <w:t xml:space="preserve">ovatko tietosuojaviranomaiset tosiasiallisesti riippumattomia, eli onko niillä muun muassa tarvittavat taloudelliset, tekniset ja henkilöstöresurssit </w:t>
      </w:r>
    </w:p>
    <w:p w:rsidR="005B393D" w:rsidRDefault="000A69F4">
      <w:pPr>
        <w:pStyle w:val="ListParagraph"/>
        <w:numPr>
          <w:ilvl w:val="0"/>
          <w:numId w:val="65"/>
        </w:numPr>
        <w:ind w:left="426" w:hanging="284"/>
        <w:rPr>
          <w:noProof/>
        </w:rPr>
      </w:pPr>
      <w:r>
        <w:rPr>
          <w:noProof/>
        </w:rPr>
        <w:t>rajoittavatko kansalliset lait rekisteröityjen oikeuksia</w:t>
      </w:r>
    </w:p>
    <w:p w:rsidR="005B393D" w:rsidRDefault="000A69F4">
      <w:pPr>
        <w:pStyle w:val="ListParagraph"/>
        <w:numPr>
          <w:ilvl w:val="0"/>
          <w:numId w:val="65"/>
        </w:numPr>
        <w:ind w:left="426" w:hanging="284"/>
        <w:rPr>
          <w:noProof/>
        </w:rPr>
      </w:pPr>
      <w:r>
        <w:rPr>
          <w:noProof/>
        </w:rPr>
        <w:t>noudatetaanko periaatetta, jonka mukaa</w:t>
      </w:r>
      <w:r>
        <w:rPr>
          <w:noProof/>
        </w:rPr>
        <w:t>n kansallisessa lainsäädännössä ei saisi ottaa käyttöön vaatimuksia, esimerkiksi käsittelyä koskevia lisäehtoja, jotka menevät asetusta pidemmälle, kun täsmennysvaraa ei ole</w:t>
      </w:r>
    </w:p>
    <w:p w:rsidR="005B393D" w:rsidRDefault="000A69F4">
      <w:pPr>
        <w:pStyle w:val="ListParagraph"/>
        <w:numPr>
          <w:ilvl w:val="0"/>
          <w:numId w:val="65"/>
        </w:numPr>
        <w:ind w:left="426" w:hanging="284"/>
        <w:rPr>
          <w:noProof/>
        </w:rPr>
      </w:pPr>
      <w:r>
        <w:rPr>
          <w:noProof/>
        </w:rPr>
        <w:t>noudatetaanko velvollisuutta, jonka mukaan henkilötietojen suoja on sovitettava yh</w:t>
      </w:r>
      <w:r>
        <w:rPr>
          <w:noProof/>
        </w:rPr>
        <w:t>teen sananvapauden ja tiedonvälityksen vapauden kanssa, kun otetaan huomioon, ettei tätä velvollisuutta saisi käyttää väärin esimerkiksi lehdistön toiminnan rajoittamiseksi.</w:t>
      </w:r>
    </w:p>
    <w:p w:rsidR="005B393D" w:rsidRDefault="000A69F4">
      <w:pPr>
        <w:rPr>
          <w:noProof/>
        </w:rPr>
      </w:pPr>
      <w:r>
        <w:rPr>
          <w:noProof/>
        </w:rPr>
        <w:t>Euroopan tietosuojaneuvoston, jäljempänä ’tietosuojaneuvosto’, puitteissa yhteisty</w:t>
      </w:r>
      <w:r>
        <w:rPr>
          <w:noProof/>
        </w:rPr>
        <w:t>ötä tekevien tietosuojaviranomaisten työ edistää merkittävästi uusien sääntöjen yhtenäistä soveltamista: useisiin jäsenvaltioihin vaikuttaviin täytäntöönpanotoimiin sovelletaan tietosuojaneuvostossa yhteistyömenettelyä ja yhdenmukaisuusmekanismia</w:t>
      </w:r>
      <w:r>
        <w:rPr>
          <w:rStyle w:val="FootnoteReference"/>
          <w:noProof/>
        </w:rPr>
        <w:footnoteReference w:id="18"/>
      </w:r>
      <w:r>
        <w:rPr>
          <w:noProof/>
        </w:rPr>
        <w:t xml:space="preserve"> ja tieto</w:t>
      </w:r>
      <w:r>
        <w:rPr>
          <w:noProof/>
        </w:rPr>
        <w:t>suojaneuvoston hyväksymät ohjeet edistävät asetuksen yhdenmukaista tulkintaa. Sidosryhmät odottavat kuitenkin, että tietosuojaviranomaiset etenevät pidemmälle tähän suuntaan.</w:t>
      </w:r>
    </w:p>
    <w:p w:rsidR="005B393D" w:rsidRDefault="000A69F4">
      <w:pPr>
        <w:rPr>
          <w:noProof/>
        </w:rPr>
      </w:pPr>
      <w:r>
        <w:rPr>
          <w:noProof/>
        </w:rPr>
        <w:t>Myös kansalliset tuomioistuimet ja Euroopan unionin tuomioistuin edistävät tietos</w:t>
      </w:r>
      <w:r>
        <w:rPr>
          <w:noProof/>
        </w:rPr>
        <w:t>uojasääntöjen yhtenäisen tulkinnan muodostamista. Kansalliset tuomioistuimet ovat hiljattain antaneet tuomioita, joilla mitätöidään asetuksesta poikkeavat kansalliset säädökset</w:t>
      </w:r>
      <w:r>
        <w:rPr>
          <w:rStyle w:val="FootnoteReference"/>
          <w:noProof/>
        </w:rPr>
        <w:footnoteReference w:id="19"/>
      </w:r>
      <w:r>
        <w:rPr>
          <w:noProof/>
        </w:rPr>
        <w:t>.</w:t>
      </w:r>
    </w:p>
    <w:p w:rsidR="005B393D" w:rsidRDefault="000A69F4">
      <w:pPr>
        <w:pStyle w:val="Heading1"/>
        <w:numPr>
          <w:ilvl w:val="0"/>
          <w:numId w:val="71"/>
        </w:numPr>
        <w:rPr>
          <w:noProof/>
        </w:rPr>
      </w:pPr>
      <w:r>
        <w:rPr>
          <w:noProof/>
        </w:rPr>
        <w:t>Uuden hallintojärjestelmän palaset loksahtavat paikoilleen</w:t>
      </w:r>
    </w:p>
    <w:p w:rsidR="005B393D" w:rsidRDefault="000A69F4">
      <w:pPr>
        <w:rPr>
          <w:noProof/>
        </w:rPr>
      </w:pPr>
      <w:r>
        <w:rPr>
          <w:noProof/>
        </w:rPr>
        <w:t>Asetuksella luotii</w:t>
      </w:r>
      <w:r>
        <w:rPr>
          <w:noProof/>
        </w:rPr>
        <w:t>n uusi hallintorakenne, jonka keskiössä ovat riippumattomat kansalliset tietosuojaviranomaiset. Ne valvovat asetuksen täytäntöönpanoa ja toimivat sidosryhmien ensimmäisinä yhteyspisteinä. Vaikka suurin osa tietosuojaviranomaisista on saanut viime vuosina l</w:t>
      </w:r>
      <w:r>
        <w:rPr>
          <w:noProof/>
        </w:rPr>
        <w:t>isää resursseja, jäsenvaltioiden välillä on edelleen suuria eroja</w:t>
      </w:r>
      <w:r>
        <w:rPr>
          <w:rStyle w:val="FootnoteReference"/>
          <w:noProof/>
        </w:rPr>
        <w:footnoteReference w:id="20"/>
      </w:r>
      <w:r>
        <w:rPr>
          <w:noProof/>
        </w:rPr>
        <w:t>.</w:t>
      </w:r>
    </w:p>
    <w:p w:rsidR="005B393D" w:rsidRDefault="000A69F4">
      <w:pPr>
        <w:pStyle w:val="Heading3"/>
        <w:rPr>
          <w:noProof/>
        </w:rPr>
      </w:pPr>
      <w:r>
        <w:rPr>
          <w:noProof/>
        </w:rPr>
        <w:t>Tietosuojaviranomaiset käyttävät uusia valtuuksiaan</w:t>
      </w:r>
    </w:p>
    <w:p w:rsidR="005B393D" w:rsidRDefault="000A69F4">
      <w:pPr>
        <w:rPr>
          <w:noProof/>
        </w:rPr>
      </w:pPr>
      <w:r>
        <w:rPr>
          <w:noProof/>
        </w:rPr>
        <w:lastRenderedPageBreak/>
        <w:t>Asetuksella myönnetään tietosuojaviranomaisille aiempaa suuremmat täytäntöönpanovaltuudet. Toisin kuin eräät sidosryhmät pelkäsivät enne</w:t>
      </w:r>
      <w:r>
        <w:rPr>
          <w:noProof/>
        </w:rPr>
        <w:t>n toukokuuta 2018, kansalliset tietosuojaviranomaiset ovat suhtautuneet täytäntöönpanovaltuuksiin tasapainoisesti. Seuraamusten määräämisen sijaan ne ovat panostaneet vuoropuheluun erityisesti sellaisten pienimpien toimijoiden kohdalla, joiden ydintehtävän</w:t>
      </w:r>
      <w:r>
        <w:rPr>
          <w:noProof/>
        </w:rPr>
        <w:t>ä ei ole henkilötietojen käsittely. Toisaalta ne eivät kuitenkaan ole arastelleet käyttää tarvittaessa uusia valtuuksiaan tehokkaasti, vaan ne ovat esimerkiksi käynnistäneet sosiaaliseen mediaan liittyviä tutkintatoimia</w:t>
      </w:r>
      <w:r>
        <w:rPr>
          <w:rStyle w:val="FootnoteReference"/>
          <w:noProof/>
        </w:rPr>
        <w:footnoteReference w:id="21"/>
      </w:r>
      <w:r>
        <w:rPr>
          <w:noProof/>
        </w:rPr>
        <w:t xml:space="preserve"> ja määränneet hallinnollisia sakkoj</w:t>
      </w:r>
      <w:r>
        <w:rPr>
          <w:noProof/>
        </w:rPr>
        <w:t>a, joiden arvo on vaihdellut muutamasta tuhannesta eurosta miljooniin euroihin tietosuojasääntöjen rikkomisen vakavuuden mukaan.</w:t>
      </w:r>
    </w:p>
    <w:p w:rsidR="005B393D" w:rsidRDefault="000A69F4">
      <w:pPr>
        <w:rPr>
          <w:noProof/>
        </w:rPr>
      </w:pPr>
      <w:r>
        <w:rPr>
          <w:noProof/>
        </w:rPr>
        <w:t>Esimerkkejä tietosuojaviranomaisten määräämistä sakoista</w:t>
      </w:r>
      <w:r>
        <w:rPr>
          <w:rStyle w:val="FootnoteReference"/>
          <w:noProof/>
        </w:rPr>
        <w:footnoteReference w:id="22"/>
      </w:r>
      <w:r>
        <w:rPr>
          <w:noProof/>
        </w:rPr>
        <w:t>:</w:t>
      </w:r>
    </w:p>
    <w:p w:rsidR="005B393D" w:rsidRDefault="000A69F4">
      <w:pPr>
        <w:pStyle w:val="ListParagraph"/>
        <w:numPr>
          <w:ilvl w:val="0"/>
          <w:numId w:val="65"/>
        </w:numPr>
        <w:ind w:left="426" w:hanging="283"/>
        <w:rPr>
          <w:noProof/>
        </w:rPr>
      </w:pPr>
      <w:r>
        <w:rPr>
          <w:noProof/>
        </w:rPr>
        <w:t>5 000 euroa urheiluvedonlyöntikahvilalle Itävallassa laittomasta vid</w:t>
      </w:r>
      <w:r>
        <w:rPr>
          <w:noProof/>
        </w:rPr>
        <w:t>eovalvonnasta</w:t>
      </w:r>
    </w:p>
    <w:p w:rsidR="005B393D" w:rsidRDefault="000A69F4">
      <w:pPr>
        <w:pStyle w:val="ListParagraph"/>
        <w:numPr>
          <w:ilvl w:val="0"/>
          <w:numId w:val="65"/>
        </w:numPr>
        <w:ind w:left="426" w:hanging="283"/>
        <w:rPr>
          <w:noProof/>
        </w:rPr>
      </w:pPr>
      <w:r>
        <w:rPr>
          <w:noProof/>
        </w:rPr>
        <w:t>220 000 euroa tietojenkäsittely-yritykselle Puolassa, koska se ei ilmoittanut rekisteröidyille, että heidän tietojaan käsitellään</w:t>
      </w:r>
    </w:p>
    <w:p w:rsidR="005B393D" w:rsidRDefault="000A69F4">
      <w:pPr>
        <w:pStyle w:val="ListParagraph"/>
        <w:numPr>
          <w:ilvl w:val="0"/>
          <w:numId w:val="65"/>
        </w:numPr>
        <w:ind w:left="426" w:hanging="283"/>
        <w:rPr>
          <w:noProof/>
        </w:rPr>
      </w:pPr>
      <w:r>
        <w:rPr>
          <w:noProof/>
        </w:rPr>
        <w:t>250 000 euroa Espanjan jalkapalloliiga LaLigalle älypuhelinsovelluksen rakenteen puutteellisen avoimuuden vuoksi</w:t>
      </w:r>
    </w:p>
    <w:p w:rsidR="005B393D" w:rsidRDefault="000A69F4">
      <w:pPr>
        <w:pStyle w:val="ListParagraph"/>
        <w:numPr>
          <w:ilvl w:val="0"/>
          <w:numId w:val="65"/>
        </w:numPr>
        <w:ind w:left="426" w:hanging="283"/>
        <w:rPr>
          <w:noProof/>
        </w:rPr>
      </w:pPr>
      <w:r>
        <w:rPr>
          <w:noProof/>
        </w:rPr>
        <w:t>50 miljoonaa euroa Googlelle Ranskassa käyttäjien suostumuksen hankkimista koskevien ehtojen vuoksi.</w:t>
      </w:r>
    </w:p>
    <w:p w:rsidR="005B393D" w:rsidRDefault="000A69F4">
      <w:pPr>
        <w:rPr>
          <w:noProof/>
        </w:rPr>
      </w:pPr>
      <w:r>
        <w:rPr>
          <w:noProof/>
        </w:rPr>
        <w:t>Tutkinnan aikana on tärkeää, että tietosuojaviranomaiset keräävät asiaankuuluvat todisteet, noudattavat kaikkia kansallisen lainsäädännön mukaisia menette</w:t>
      </w:r>
      <w:r>
        <w:rPr>
          <w:noProof/>
        </w:rPr>
        <w:t>lyvaiheita ja varmistavat menettelyjen asianmukaisuuden tapauksissa, jotka ovat usein varsin monimutkaisia. Tämä vaatii aikaa ja paljon työtä, minkä vuoksi useimmat asetuksen soveltamisen alkamisen jälkeen käynnistetyt tutkinnat ovat yhä kesken.</w:t>
      </w:r>
    </w:p>
    <w:p w:rsidR="005B393D" w:rsidRDefault="000A69F4">
      <w:pPr>
        <w:rPr>
          <w:noProof/>
        </w:rPr>
      </w:pPr>
      <w:r>
        <w:rPr>
          <w:noProof/>
        </w:rPr>
        <w:t xml:space="preserve">Asetuksen </w:t>
      </w:r>
      <w:r>
        <w:rPr>
          <w:noProof/>
        </w:rPr>
        <w:t>menestystä ei kuitenkaan pitäisi mitata määrättyjen sakkojen lukumäärällä, vaan kaikkien asianosaisten toimijoiden toimintatavoissa ja käytöksessä aikaansaaduilla muutoksilla. Tietosuojaviranomaisilla on tässä yhteydessä käytössään muitakin välineitä: ne v</w:t>
      </w:r>
      <w:r>
        <w:rPr>
          <w:noProof/>
        </w:rPr>
        <w:t>oivat esimerkiksi rajoittaa käsittelyä väliaikaisesti tai pysyvästi tai kieltää sen kokonaan, tai ne voivat määrätä keskeyttämään tiedonsiirrot kolmannessa maassa olevalle vastaanottajalle</w:t>
      </w:r>
      <w:r>
        <w:rPr>
          <w:rStyle w:val="FootnoteReference"/>
          <w:noProof/>
        </w:rPr>
        <w:footnoteReference w:id="23"/>
      </w:r>
      <w:r>
        <w:rPr>
          <w:noProof/>
        </w:rPr>
        <w:t xml:space="preserve">. </w:t>
      </w:r>
    </w:p>
    <w:p w:rsidR="005B393D" w:rsidRDefault="000A69F4">
      <w:pPr>
        <w:rPr>
          <w:noProof/>
        </w:rPr>
      </w:pPr>
      <w:r>
        <w:rPr>
          <w:noProof/>
        </w:rPr>
        <w:t>Eräät tietosuojaviranomaiset ovat myös kehittäneet uusia välinei</w:t>
      </w:r>
      <w:r>
        <w:rPr>
          <w:noProof/>
        </w:rPr>
        <w:t>tä, kuten yrityksille tarkoitettuja neuvontapuhelimia ja tietopaketteja, tai uusia toimintatapoja, kuten sääntelyyn liittyviä testausympäristöjä</w:t>
      </w:r>
      <w:r>
        <w:rPr>
          <w:rStyle w:val="FootnoteReference"/>
          <w:noProof/>
        </w:rPr>
        <w:footnoteReference w:id="24"/>
      </w:r>
      <w:r>
        <w:rPr>
          <w:noProof/>
        </w:rPr>
        <w:t>, jotta voidaan auttaa yrityksiä noudattamaan sääntöjä. Osa sidosryhmistä katsoo silti, etteivät ne ole saaneet</w:t>
      </w:r>
      <w:r>
        <w:rPr>
          <w:noProof/>
        </w:rPr>
        <w:t xml:space="preserve"> riittävästi tukea ja tietoa. Tätä mieltä ovat </w:t>
      </w:r>
      <w:r>
        <w:rPr>
          <w:noProof/>
        </w:rPr>
        <w:lastRenderedPageBreak/>
        <w:t>erityisesti pienet ja keskisuuret yritykset joissakin jäsenvaltioissa.</w:t>
      </w:r>
      <w:r>
        <w:rPr>
          <w:rStyle w:val="FootnoteReference"/>
          <w:noProof/>
        </w:rPr>
        <w:footnoteReference w:id="25"/>
      </w:r>
      <w:r>
        <w:rPr>
          <w:noProof/>
        </w:rPr>
        <w:t xml:space="preserve"> Tilanteen korjaamiseksi komissio myöntää tietosuojaviranomaisille avustuksia, jotta ne voisivat tavoittaa sidosryhmät, erityisesti yksilö</w:t>
      </w:r>
      <w:r>
        <w:rPr>
          <w:noProof/>
        </w:rPr>
        <w:t>t sekä pienet ja keskisuuret yritykset</w:t>
      </w:r>
      <w:r>
        <w:rPr>
          <w:rStyle w:val="FootnoteReference"/>
          <w:noProof/>
        </w:rPr>
        <w:footnoteReference w:id="26"/>
      </w:r>
      <w:r>
        <w:rPr>
          <w:noProof/>
        </w:rPr>
        <w:t>.</w:t>
      </w:r>
    </w:p>
    <w:p w:rsidR="005B393D" w:rsidRDefault="000A69F4">
      <w:pPr>
        <w:pStyle w:val="Heading3"/>
        <w:rPr>
          <w:noProof/>
        </w:rPr>
      </w:pPr>
      <w:r>
        <w:rPr>
          <w:noProof/>
        </w:rPr>
        <w:t>Euroopan tietosuojaneuvosto on aloittanut toimintansa</w:t>
      </w:r>
    </w:p>
    <w:p w:rsidR="005B393D" w:rsidRDefault="000A69F4">
      <w:pPr>
        <w:rPr>
          <w:noProof/>
        </w:rPr>
      </w:pPr>
      <w:r>
        <w:rPr>
          <w:noProof/>
        </w:rPr>
        <w:t>Tietosuojaviranomaiset ovat tehostaneet toimintaansa Euroopan tietosuojaneuvostossa</w:t>
      </w:r>
      <w:r>
        <w:rPr>
          <w:rStyle w:val="FootnoteReference"/>
          <w:noProof/>
        </w:rPr>
        <w:footnoteReference w:id="27"/>
      </w:r>
      <w:r>
        <w:rPr>
          <w:noProof/>
        </w:rPr>
        <w:t>. Intensiivisen työn ansiosta tietosuojaneuvosto on hyväksynyt noin 20 ohjett</w:t>
      </w:r>
      <w:r>
        <w:rPr>
          <w:noProof/>
        </w:rPr>
        <w:t>a asetuksen keskeisten näkökohtien soveltamista varten</w:t>
      </w:r>
      <w:r>
        <w:rPr>
          <w:rStyle w:val="FootnoteReference"/>
          <w:noProof/>
        </w:rPr>
        <w:footnoteReference w:id="28"/>
      </w:r>
      <w:r>
        <w:rPr>
          <w:noProof/>
        </w:rPr>
        <w:t>. Tietosuojaneuvoston tulevat työalueet esitellään kaksivuotisessa ohjelmassa</w:t>
      </w:r>
      <w:r>
        <w:rPr>
          <w:rStyle w:val="FootnoteReference"/>
          <w:noProof/>
        </w:rPr>
        <w:footnoteReference w:id="29"/>
      </w:r>
      <w:r>
        <w:rPr>
          <w:noProof/>
        </w:rPr>
        <w:t xml:space="preserve"> asetuksen vaatimusten mukaisesti. </w:t>
      </w:r>
    </w:p>
    <w:p w:rsidR="005B393D" w:rsidRDefault="000A69F4">
      <w:pPr>
        <w:rPr>
          <w:noProof/>
        </w:rPr>
      </w:pPr>
      <w:r>
        <w:rPr>
          <w:noProof/>
        </w:rPr>
        <w:t>Rajat ylittävissä tapauksissa yksikään tietosuojaviranomainen ei ole enää pelkästään ka</w:t>
      </w:r>
      <w:r>
        <w:rPr>
          <w:noProof/>
        </w:rPr>
        <w:t xml:space="preserve">nsallinen viranomainen, vaan osa menettelyä, joka on aidosti EU:n laajuinen kaikissa vaiheissa tutkinnasta päätöksen tekemiseen asti. Tiiviistä yhteistyöstä on tullut arkipäivää: kesäkuun 2019 loppuun mennessä yhteistyömekanismin välityksellä on käsitelty </w:t>
      </w:r>
      <w:r>
        <w:rPr>
          <w:noProof/>
        </w:rPr>
        <w:t xml:space="preserve">516 rajat ylittävää tapausta. </w:t>
      </w:r>
    </w:p>
    <w:p w:rsidR="005B393D" w:rsidRDefault="000A69F4">
      <w:pPr>
        <w:rPr>
          <w:noProof/>
        </w:rPr>
      </w:pPr>
      <w:r>
        <w:rPr>
          <w:noProof/>
        </w:rPr>
        <w:t>Komissio osallistuu aktiivisesti tietosuojaneuvoston toimintaan</w:t>
      </w:r>
      <w:r>
        <w:rPr>
          <w:rStyle w:val="FootnoteReference"/>
          <w:noProof/>
        </w:rPr>
        <w:footnoteReference w:id="30"/>
      </w:r>
      <w:r>
        <w:rPr>
          <w:noProof/>
        </w:rPr>
        <w:t xml:space="preserve"> edistääkseen asetuksen täytäntöönpanoa kaikilta osin. Komissio muistuttaa myös EU:n oikeuden yleisistä periaatteista</w:t>
      </w:r>
      <w:r>
        <w:rPr>
          <w:rStyle w:val="FootnoteReference"/>
          <w:noProof/>
        </w:rPr>
        <w:footnoteReference w:id="31"/>
      </w:r>
      <w:r>
        <w:rPr>
          <w:noProof/>
        </w:rPr>
        <w:t xml:space="preserve">. </w:t>
      </w:r>
    </w:p>
    <w:p w:rsidR="005B393D" w:rsidRDefault="000A69F4">
      <w:pPr>
        <w:rPr>
          <w:i/>
          <w:iCs/>
          <w:noProof/>
        </w:rPr>
      </w:pPr>
      <w:r>
        <w:rPr>
          <w:i/>
          <w:iCs/>
          <w:noProof/>
        </w:rPr>
        <w:t xml:space="preserve">Kohti EU:n yhteistä tietosuojakulttuuria </w:t>
      </w:r>
    </w:p>
    <w:p w:rsidR="005B393D" w:rsidRDefault="000A69F4">
      <w:pPr>
        <w:rPr>
          <w:noProof/>
        </w:rPr>
      </w:pPr>
      <w:r>
        <w:rPr>
          <w:noProof/>
        </w:rPr>
        <w:t>Uuden hallintojärjestelmän koko potentiaali ei kuitenkaan ole vielä käytössä. On tärkeää, että tietosuojaneuvosto yksinkertaistaa vielä päätöksentekomenettelyjään ja kehittää jäsentensä keskuudessa EU:n yhteistä ti</w:t>
      </w:r>
      <w:r>
        <w:rPr>
          <w:noProof/>
        </w:rPr>
        <w:t>etosuojakulttuuria. Tätä tavoitetta voidaan edistää ja resurssipulaa lieventää hyödyntämällä tietosuojaviranomaisten mahdollisuuksia yhdistää voimavaransa</w:t>
      </w:r>
      <w:r>
        <w:rPr>
          <w:rStyle w:val="FootnoteReference"/>
          <w:noProof/>
        </w:rPr>
        <w:footnoteReference w:id="32"/>
      </w:r>
      <w:r>
        <w:rPr>
          <w:noProof/>
        </w:rPr>
        <w:t xml:space="preserve"> asioissa, jotka vaikuttavat useampaan kuin yhteen jäsenvaltioon. Tietosuojaviranomaiset voivat esime</w:t>
      </w:r>
      <w:r>
        <w:rPr>
          <w:noProof/>
        </w:rPr>
        <w:t>rkiksi toteuttaa yhteisiä tutkintatoimia ja täytäntöönpanotoimenpiteitä.</w:t>
      </w:r>
    </w:p>
    <w:p w:rsidR="005B393D" w:rsidRDefault="000A69F4">
      <w:pPr>
        <w:rPr>
          <w:noProof/>
          <w:color w:val="000000" w:themeColor="text1"/>
        </w:rPr>
      </w:pPr>
      <w:r>
        <w:rPr>
          <w:noProof/>
        </w:rPr>
        <w:lastRenderedPageBreak/>
        <w:t>Monet sidosryhmät toivovat lisää yhteistyötä ja kansallisilta tietosuojaviranomaisilta yhdenmukaista lähestymistapaa</w:t>
      </w:r>
      <w:r>
        <w:rPr>
          <w:rStyle w:val="FootnoteReference"/>
          <w:noProof/>
        </w:rPr>
        <w:footnoteReference w:id="33"/>
      </w:r>
      <w:r>
        <w:rPr>
          <w:noProof/>
        </w:rPr>
        <w:t>. Lisäksi sidosryhmät kehottavat tietosuojaviranomaisia antamaan y</w:t>
      </w:r>
      <w:r>
        <w:rPr>
          <w:noProof/>
        </w:rPr>
        <w:t>hdenmukaisempia neuvoja</w:t>
      </w:r>
      <w:r>
        <w:rPr>
          <w:rStyle w:val="FootnoteReference"/>
          <w:noProof/>
        </w:rPr>
        <w:footnoteReference w:id="34"/>
      </w:r>
      <w:r>
        <w:rPr>
          <w:noProof/>
        </w:rPr>
        <w:t xml:space="preserve"> ja varmistamaan, että kansalliset ohjeet vastaavat täysin tietosuojaneuvoston antamia ohjeita. Osa niistä toivoo myös, että asetuksen keskeisiä käsitteitä, kuten riskiperusteista lähestymistapaa, selvennettäisiin ja että erityisest</w:t>
      </w:r>
      <w:r>
        <w:rPr>
          <w:noProof/>
        </w:rPr>
        <w:t>i pienten ja keskisuurten yritysten huolenaiheisiin kiinnitettäisiin erityistä huomiota.</w:t>
      </w:r>
    </w:p>
    <w:p w:rsidR="005B393D" w:rsidRDefault="000A69F4">
      <w:pPr>
        <w:rPr>
          <w:noProof/>
          <w:color w:val="000000" w:themeColor="text1"/>
        </w:rPr>
      </w:pPr>
      <w:r>
        <w:rPr>
          <w:noProof/>
        </w:rPr>
        <w:t>Tässä yhteydessä on erittäin tärkeää ottaa sidosryhmien panos paremmin huomioon tietosuojaneuvoston työssä. Siksi komissio suhtautuu myönteisesti ohjeita koskeviin jul</w:t>
      </w:r>
      <w:r>
        <w:rPr>
          <w:noProof/>
        </w:rPr>
        <w:t>kisiin kuulemisiin, joita tietosuojaneuvosto järjestää säännöllisesti. Tätä käytäntöä ja sidosryhmille tarkoitettujen työpajojen järjestämistä eri aiheista pohdinnan varhaisessa vaiheessa olisikin jatkettava ja lisättävä, jotta voidaan varmistaa tietosuoja</w:t>
      </w:r>
      <w:r>
        <w:rPr>
          <w:noProof/>
        </w:rPr>
        <w:t xml:space="preserve">neuvoston työn läpinäkyvyys, osallistavuus ja merkityksellisyys. </w:t>
      </w:r>
    </w:p>
    <w:p w:rsidR="005B393D" w:rsidRDefault="000A69F4">
      <w:pPr>
        <w:pStyle w:val="Heading1"/>
        <w:numPr>
          <w:ilvl w:val="0"/>
          <w:numId w:val="71"/>
        </w:numPr>
        <w:rPr>
          <w:noProof/>
        </w:rPr>
      </w:pPr>
      <w:r>
        <w:rPr>
          <w:noProof/>
        </w:rPr>
        <w:t>Yksilöt käyttävät jo oikeuksiaan, mutta lisätiedotusta tarvitaan</w:t>
      </w:r>
    </w:p>
    <w:p w:rsidR="005B393D" w:rsidRDefault="000A69F4">
      <w:pPr>
        <w:rPr>
          <w:noProof/>
        </w:rPr>
      </w:pPr>
      <w:r>
        <w:rPr>
          <w:noProof/>
        </w:rPr>
        <w:t>Asetuksen toinen keskeinen tavoite oli vahvistaa yksilöiden oikeuksia. Kansalaisoikeusjärjestöt ja kuluttajajärjestöt ovat la</w:t>
      </w:r>
      <w:r>
        <w:rPr>
          <w:noProof/>
        </w:rPr>
        <w:t xml:space="preserve">ajalti sitä mieltä, että asetus edistää merkittävällä tavalla keskinäiseen luottamukseen perustuvan oikeudenmukaisen digitaaliyhteiskunnan luomista. </w:t>
      </w:r>
    </w:p>
    <w:p w:rsidR="005B393D" w:rsidRDefault="000A69F4">
      <w:pPr>
        <w:keepNext/>
        <w:rPr>
          <w:i/>
          <w:iCs/>
          <w:noProof/>
        </w:rPr>
      </w:pPr>
      <w:r>
        <w:rPr>
          <w:i/>
          <w:iCs/>
          <w:noProof/>
        </w:rPr>
        <w:t>Tietosuojaoikeudet tunnetaan yhä paremmin</w:t>
      </w:r>
    </w:p>
    <w:p w:rsidR="005B393D" w:rsidRDefault="000A69F4">
      <w:pPr>
        <w:rPr>
          <w:noProof/>
        </w:rPr>
      </w:pPr>
      <w:r>
        <w:rPr>
          <w:noProof/>
        </w:rPr>
        <w:t>Rekisteröidyt tuntevat tietosuojasäännöt ja omat oikeutensa EU:s</w:t>
      </w:r>
      <w:r>
        <w:rPr>
          <w:noProof/>
        </w:rPr>
        <w:t>sa yhä paremmin: toukokuussa 2019 tehdyn Eurobarometri-tutkimuksen</w:t>
      </w:r>
      <w:r>
        <w:rPr>
          <w:rStyle w:val="FootnoteReference"/>
          <w:noProof/>
        </w:rPr>
        <w:footnoteReference w:id="35"/>
      </w:r>
      <w:r>
        <w:rPr>
          <w:noProof/>
        </w:rPr>
        <w:t xml:space="preserve"> vastaajista 67 prosenttia oli tietoisia asetuksesta ja 57 prosenttia tiesi, että on olemassa kansallinen tietosuojaviranomainen, jonka puoleen he voivat kääntyä saadakseen tietoa tai tehdä</w:t>
      </w:r>
      <w:r>
        <w:rPr>
          <w:noProof/>
        </w:rPr>
        <w:t>kseen valituksia. Vastaajista 73 prosenttia oli kuullut vähintään yhdestä asetuksella myönnetystä oikeudesta. Merkittävä osa EU:n asukkaista ei kuitenkaan ole toteuttanut erityisiä toimenpiteitä suojatakseen henkilötietojaan verkossa. Esimerkiksi 44 prosen</w:t>
      </w:r>
      <w:r>
        <w:rPr>
          <w:noProof/>
        </w:rPr>
        <w:t>ttia ei ole muuttanut oletusarvoisia yksityisyysasetuksia verkkoyhteisöissä.</w:t>
      </w:r>
    </w:p>
    <w:p w:rsidR="005B393D" w:rsidRDefault="000A69F4">
      <w:pPr>
        <w:rPr>
          <w:i/>
          <w:iCs/>
          <w:noProof/>
        </w:rPr>
      </w:pPr>
      <w:r>
        <w:rPr>
          <w:i/>
          <w:iCs/>
          <w:noProof/>
        </w:rPr>
        <w:t xml:space="preserve">Rekisteröidyt käyttävät oikeuksiaan yhä enemmän </w:t>
      </w:r>
    </w:p>
    <w:p w:rsidR="005B393D" w:rsidRDefault="000A69F4">
      <w:pPr>
        <w:rPr>
          <w:noProof/>
        </w:rPr>
      </w:pPr>
      <w:r>
        <w:rPr>
          <w:noProof/>
        </w:rPr>
        <w:t>Koska rekisteröidyt tuntevat oikeutensa yhä paremmin, he myös käyttävät niitä entistä tehokkaammin esittämällä asiakastiedusteluja</w:t>
      </w:r>
      <w:r>
        <w:rPr>
          <w:noProof/>
        </w:rPr>
        <w:t xml:space="preserve"> ja kääntymällä yhä useammin tietosuojaviranomaisten puoleen saadakseen tietoa tai tehdäkseen valituksia</w:t>
      </w:r>
      <w:r>
        <w:rPr>
          <w:rStyle w:val="FootnoteReference"/>
          <w:noProof/>
        </w:rPr>
        <w:footnoteReference w:id="36"/>
      </w:r>
      <w:r>
        <w:rPr>
          <w:noProof/>
        </w:rPr>
        <w:t>. Yritysten mukaan myös henkilötietoihin tutustumista koskevat pyynnöt ovat lisääntyneet useilla aloilla, kuten pankkialalla ja televiestinnässä. Lisäk</w:t>
      </w:r>
      <w:r>
        <w:rPr>
          <w:noProof/>
        </w:rPr>
        <w:t>si yhä useampi on peruuttanut suostumuksensa ja käyttänyt oikeuttaan kieltäytyä kaupallisesta viestinnästä</w:t>
      </w:r>
      <w:r>
        <w:rPr>
          <w:rStyle w:val="FootnoteReference"/>
          <w:noProof/>
        </w:rPr>
        <w:footnoteReference w:id="37"/>
      </w:r>
      <w:r>
        <w:rPr>
          <w:noProof/>
        </w:rPr>
        <w:t xml:space="preserve">. </w:t>
      </w:r>
    </w:p>
    <w:p w:rsidR="005B393D" w:rsidRDefault="000A69F4">
      <w:pPr>
        <w:rPr>
          <w:noProof/>
        </w:rPr>
      </w:pPr>
      <w:r>
        <w:rPr>
          <w:noProof/>
        </w:rPr>
        <w:t>Eräät toimijat ovat kuitenkin ilmoittaneet, että ihmisillä on vääriä käsityksiä tietosuojasäännöistä, esimerkiksi että rekisteröityjen olisi suost</w:t>
      </w:r>
      <w:r>
        <w:rPr>
          <w:noProof/>
        </w:rPr>
        <w:t>uttava kaikkeen käsittelyyn tai että oikeus tietojen poistamiseen on ehdoton (vaikka toimijoiden on toisinaan säilytettävä esimerkiksi henkilötiedot oikeudellisten velvoitteiden vuoksi)</w:t>
      </w:r>
      <w:r>
        <w:rPr>
          <w:rStyle w:val="FootnoteReference"/>
          <w:noProof/>
        </w:rPr>
        <w:footnoteReference w:id="38"/>
      </w:r>
      <w:r>
        <w:rPr>
          <w:noProof/>
        </w:rPr>
        <w:t>. Toisaalta kansalaisyhteiskunnan järjestöt ovat valittaneet joidenkin</w:t>
      </w:r>
      <w:r>
        <w:rPr>
          <w:noProof/>
        </w:rPr>
        <w:t xml:space="preserve"> yritysten ja tietosuojaviranomaisten pitkistä vastausajoista.</w:t>
      </w:r>
    </w:p>
    <w:p w:rsidR="005B393D" w:rsidRDefault="000A69F4">
      <w:pPr>
        <w:rPr>
          <w:noProof/>
        </w:rPr>
      </w:pPr>
      <w:r>
        <w:rPr>
          <w:noProof/>
        </w:rPr>
        <w:t>Lisäksi on huomionarvoista, että valtiosta riippumattomat järjestöt ovat nostaneet useita edustajakanteita saatuaan siihen valtuutuksen rekisteröidyiltä. Ne ovat näin hyödyntäneet asetuksen tar</w:t>
      </w:r>
      <w:r>
        <w:rPr>
          <w:noProof/>
        </w:rPr>
        <w:t>joamaa uutta mahdollisuutta</w:t>
      </w:r>
      <w:r>
        <w:rPr>
          <w:rStyle w:val="FootnoteReference"/>
          <w:noProof/>
        </w:rPr>
        <w:footnoteReference w:id="39"/>
      </w:r>
      <w:r>
        <w:rPr>
          <w:noProof/>
        </w:rPr>
        <w:t>. Edustajakanteiden nostaminen olisi ollut helpompaa, jos useammat jäsenvaltiot olisivat käyttäneet asetuksessa säädettyä mahdollisuutta sallia valtiosta riippumattomien järjestöjen nostaa kanne ilman valtuutusta</w:t>
      </w:r>
      <w:r>
        <w:rPr>
          <w:rStyle w:val="FootnoteReference"/>
          <w:noProof/>
        </w:rPr>
        <w:footnoteReference w:id="40"/>
      </w:r>
      <w:r>
        <w:rPr>
          <w:noProof/>
        </w:rPr>
        <w:t>.</w:t>
      </w:r>
    </w:p>
    <w:p w:rsidR="005B393D" w:rsidRDefault="000A69F4">
      <w:pPr>
        <w:rPr>
          <w:i/>
          <w:iCs/>
          <w:noProof/>
        </w:rPr>
      </w:pPr>
      <w:r>
        <w:rPr>
          <w:i/>
          <w:iCs/>
          <w:noProof/>
        </w:rPr>
        <w:t>Tiedotusta on</w:t>
      </w:r>
      <w:r>
        <w:rPr>
          <w:i/>
          <w:iCs/>
          <w:noProof/>
        </w:rPr>
        <w:t xml:space="preserve"> jatkettava</w:t>
      </w:r>
    </w:p>
    <w:p w:rsidR="005B393D" w:rsidRDefault="000A69F4">
      <w:pPr>
        <w:rPr>
          <w:noProof/>
        </w:rPr>
      </w:pPr>
      <w:r>
        <w:rPr>
          <w:noProof/>
        </w:rPr>
        <w:t>Suurelle yleisölle suunnattua vuoropuhelua ja tiedotusta on näin ollen jatkettava sekä kansallisella että EU:n tasolla. Siksi komissio käynnisti heinäkuussa 2019 uuden verkkokampanjan</w:t>
      </w:r>
      <w:r>
        <w:rPr>
          <w:rStyle w:val="FootnoteReference"/>
          <w:noProof/>
        </w:rPr>
        <w:footnoteReference w:id="41"/>
      </w:r>
      <w:r>
        <w:rPr>
          <w:noProof/>
        </w:rPr>
        <w:t>, jossa kansalaisia kannustetaan lukemaan tietosuojaselostee</w:t>
      </w:r>
      <w:r>
        <w:rPr>
          <w:noProof/>
        </w:rPr>
        <w:t xml:space="preserve">t ja optimoimaan yksityisyysasetukset. </w:t>
      </w:r>
    </w:p>
    <w:p w:rsidR="005B393D" w:rsidRDefault="000A69F4">
      <w:pPr>
        <w:pStyle w:val="Heading1"/>
        <w:numPr>
          <w:ilvl w:val="0"/>
          <w:numId w:val="71"/>
        </w:numPr>
        <w:rPr>
          <w:noProof/>
        </w:rPr>
      </w:pPr>
      <w:r>
        <w:rPr>
          <w:noProof/>
        </w:rPr>
        <w:t>Yritykset muuttavat käytäntöjään</w:t>
      </w:r>
    </w:p>
    <w:p w:rsidR="005B393D" w:rsidRDefault="000A69F4">
      <w:pPr>
        <w:rPr>
          <w:noProof/>
        </w:rPr>
      </w:pPr>
      <w:r>
        <w:rPr>
          <w:noProof/>
        </w:rPr>
        <w:t>Asetuksen tarkoituksena on tukea yrityksiä digitaalitaloudessa tarjoamalla tulevaisuuden vaatimukset huomioon ottavia ratkaisuja. Yritykset suhtautuvat yleisesti ottaen myönteisesti a</w:t>
      </w:r>
      <w:r>
        <w:rPr>
          <w:noProof/>
        </w:rPr>
        <w:t xml:space="preserve">setuksessa vahvistettuun osoitusvelvollisuuden periaatteeseen, jolla siirrytään poispäin aiemmasta raskaasta </w:t>
      </w:r>
      <w:r>
        <w:rPr>
          <w:i/>
          <w:noProof/>
        </w:rPr>
        <w:t>ex ante</w:t>
      </w:r>
      <w:r>
        <w:rPr>
          <w:noProof/>
        </w:rPr>
        <w:t xml:space="preserve"> </w:t>
      </w:r>
      <w:r>
        <w:rPr>
          <w:noProof/>
        </w:rPr>
        <w:noBreakHyphen/>
        <w:t>lähestymistavasta (ilmoitusvaatimusten poistaminen, velvollisuuksien skaalattavuus sekä sisäänrakennettua ja oletusarvoista tietosuojaa ko</w:t>
      </w:r>
      <w:r>
        <w:rPr>
          <w:noProof/>
        </w:rPr>
        <w:t>skevan periaatteen joustavuus, mikä mahdollistaa kilpailun yksityisyyttä paremmin suojaavien ratkaisujen perusteella). Samalla osa yrityksistä vaatii, että oikeusvarmuutta on parannettava ja että tietosuojaviranomaisten on annettava lisää tai selkeämpiä oh</w:t>
      </w:r>
      <w:r>
        <w:rPr>
          <w:noProof/>
        </w:rPr>
        <w:t>jeita</w:t>
      </w:r>
      <w:r>
        <w:rPr>
          <w:rStyle w:val="FootnoteReference"/>
          <w:noProof/>
        </w:rPr>
        <w:footnoteReference w:id="42"/>
      </w:r>
      <w:r>
        <w:rPr>
          <w:noProof/>
        </w:rPr>
        <w:t>.</w:t>
      </w:r>
    </w:p>
    <w:p w:rsidR="005B393D" w:rsidRDefault="000A69F4">
      <w:pPr>
        <w:pStyle w:val="Heading3"/>
        <w:rPr>
          <w:noProof/>
        </w:rPr>
      </w:pPr>
      <w:r>
        <w:rPr>
          <w:noProof/>
        </w:rPr>
        <w:t>Moitteeton tiedonhallinta</w:t>
      </w:r>
    </w:p>
    <w:p w:rsidR="005B393D" w:rsidRDefault="000A69F4">
      <w:pPr>
        <w:rPr>
          <w:noProof/>
        </w:rPr>
      </w:pPr>
      <w:r>
        <w:rPr>
          <w:noProof/>
        </w:rPr>
        <w:t>Vaikka yritykset ovat tuoneet esiin joitakin haasteita uusiin sääntöihin sopeutumisessa</w:t>
      </w:r>
      <w:r>
        <w:rPr>
          <w:rStyle w:val="FootnoteReference"/>
          <w:noProof/>
        </w:rPr>
        <w:footnoteReference w:id="43"/>
      </w:r>
      <w:r>
        <w:rPr>
          <w:noProof/>
        </w:rPr>
        <w:t xml:space="preserve">, monet niistä korostavat, että tämä on myös ollut tilaisuus nostaa tietosuojakysymykset esiin yrityksen hallituksessa, laittaa </w:t>
      </w:r>
      <w:r>
        <w:rPr>
          <w:noProof/>
        </w:rPr>
        <w:t>tietojen säilyttämistä koskevat asiat kuntoon yrityksessä, parantaa turvallisuutta, varautua paremmin häiriötilanteisiin, vähentää altistumista tarpeettomille riskeille ja luoda entistä luottamuksellisemmat suhteet asiakkaisiin ja liikekumppaneihin. Lisäks</w:t>
      </w:r>
      <w:r>
        <w:rPr>
          <w:noProof/>
        </w:rPr>
        <w:t>i yritykset ja valtiosta riippumattomat järjestöt ovat todenneet, että avoimuudessa on saavutettava herkkä tasapaino: rekisteröidyille on annettava kaikki asetuksessa edellytetyt tiedot, mutta se on tehtävä käyttäen ymmärrettävää, selkeää ja yksinkertaista</w:t>
      </w:r>
      <w:r>
        <w:rPr>
          <w:noProof/>
        </w:rPr>
        <w:t xml:space="preserve"> kieltä ja muotoa. Toimijat kehittävät parhaillaan nämä vaatimukset täyttäviä innovatiivisia ratkaisuja.</w:t>
      </w:r>
    </w:p>
    <w:p w:rsidR="005B393D" w:rsidRDefault="000A69F4">
      <w:pPr>
        <w:rPr>
          <w:noProof/>
        </w:rPr>
      </w:pPr>
      <w:r>
        <w:rPr>
          <w:noProof/>
        </w:rPr>
        <w:t>Yleisesti ottaen yritykset ovat ilmoittaneet, että ne pystyivät toteuttamaan uudet rekisteröityjen oikeudet, vaikka määräaikojen noudattaminen olikin t</w:t>
      </w:r>
      <w:r>
        <w:rPr>
          <w:noProof/>
        </w:rPr>
        <w:t>oisinaan haastavaa, koska pyyntöjen määrä kasvoi ja ne olivat aiempaa laaja-alaisempia</w:t>
      </w:r>
      <w:r>
        <w:rPr>
          <w:rStyle w:val="FootnoteReference"/>
          <w:noProof/>
        </w:rPr>
        <w:footnoteReference w:id="44"/>
      </w:r>
      <w:r>
        <w:rPr>
          <w:noProof/>
        </w:rPr>
        <w:t>. Myös pyynnön tekijän henkilöllisyyden tarkistaminen oli toisinaan haastavaa.</w:t>
      </w:r>
    </w:p>
    <w:p w:rsidR="005B393D" w:rsidRDefault="000A69F4">
      <w:pPr>
        <w:pStyle w:val="Heading3"/>
        <w:rPr>
          <w:noProof/>
        </w:rPr>
      </w:pPr>
      <w:r>
        <w:rPr>
          <w:noProof/>
        </w:rPr>
        <w:t>Vaikutukset innovointiin</w:t>
      </w:r>
    </w:p>
    <w:p w:rsidR="005B393D" w:rsidRDefault="000A69F4">
      <w:pPr>
        <w:rPr>
          <w:noProof/>
        </w:rPr>
      </w:pPr>
      <w:r>
        <w:rPr>
          <w:noProof/>
        </w:rPr>
        <w:t>Asetus ei ainoastaan salli uuden teknologian kehittämistä vaan my</w:t>
      </w:r>
      <w:r>
        <w:rPr>
          <w:noProof/>
        </w:rPr>
        <w:t xml:space="preserve">ös kannustaa kehittämään uutta teknologiaa siten, että noudatetaan perusoikeutta henkilötietojen suojaan. Tämä koskee esimerkiksi tekoälyä. </w:t>
      </w:r>
    </w:p>
    <w:p w:rsidR="005B393D" w:rsidRDefault="000A69F4">
      <w:pPr>
        <w:rPr>
          <w:noProof/>
        </w:rPr>
      </w:pPr>
      <w:r>
        <w:rPr>
          <w:noProof/>
        </w:rPr>
        <w:t>Yritykset ovat alkaneet kehittää uusien, yksityisyyttä paremmin suojaavien palvelujen valikoimaansa. Joissakin jäse</w:t>
      </w:r>
      <w:r>
        <w:rPr>
          <w:noProof/>
        </w:rPr>
        <w:t>nvaltioissa markkinaosuuksia valtaavat asteittain esimerkiksi hakukoneet, jotka eivät seuraa käyttäjiä tai esitä mainoksia tämän käyttötottumusten perusteella. Toiset yritykset kehittävät palveluja, jotka perustuvat rekisteröidyille myönnettyihin uusiin oi</w:t>
      </w:r>
      <w:r>
        <w:rPr>
          <w:noProof/>
        </w:rPr>
        <w:t>keuksiin, kuten oikeuteen siirtää henkilötiedot järjestelmästä toiseen. Yhä useammat yritykset ovat käyttäneet erityisen tiukkaa suhtautumista henkilötietojen suojaan keinona erottua kilpailussa ja edistää myyntiä. Tämä kehitys ei rajoitu EU:hun, vaan se p</w:t>
      </w:r>
      <w:r>
        <w:rPr>
          <w:noProof/>
        </w:rPr>
        <w:t>ätee myös erittäin innovatiivisiin ulkomaisiin talouksiin</w:t>
      </w:r>
      <w:r>
        <w:rPr>
          <w:rStyle w:val="FootnoteReference"/>
          <w:noProof/>
        </w:rPr>
        <w:footnoteReference w:id="45"/>
      </w:r>
      <w:r>
        <w:rPr>
          <w:noProof/>
        </w:rPr>
        <w:t xml:space="preserve">. </w:t>
      </w:r>
    </w:p>
    <w:p w:rsidR="005B393D" w:rsidRDefault="000A69F4">
      <w:pPr>
        <w:pStyle w:val="Heading3"/>
        <w:rPr>
          <w:noProof/>
        </w:rPr>
      </w:pPr>
      <w:r>
        <w:rPr>
          <w:noProof/>
        </w:rPr>
        <w:t>”Matalariskisten” mikroyritysten ja pienten yritysten tilanne</w:t>
      </w:r>
    </w:p>
    <w:p w:rsidR="005B393D" w:rsidRDefault="000A69F4">
      <w:pPr>
        <w:rPr>
          <w:noProof/>
        </w:rPr>
      </w:pPr>
      <w:r>
        <w:rPr>
          <w:noProof/>
        </w:rPr>
        <w:t>Jäsenvaltioiden välisistä eroista huolimatta mikroyritykset ja pienet yritykset</w:t>
      </w:r>
      <w:r>
        <w:rPr>
          <w:rStyle w:val="FootnoteReference"/>
          <w:noProof/>
        </w:rPr>
        <w:footnoteReference w:id="46"/>
      </w:r>
      <w:r>
        <w:rPr>
          <w:noProof/>
        </w:rPr>
        <w:t xml:space="preserve">, joiden ydintehtävänä ei ole henkilötietojen </w:t>
      </w:r>
      <w:r>
        <w:rPr>
          <w:noProof/>
        </w:rPr>
        <w:t>käsittely, kuuluvat niihin sidosryhmiin, joilla on eniten kysymyksiä asetuksen soveltamisesta. Osa kysymyksistä johtuu siitä, ettei tietosuojasääntöjä tunneta. Toisinaan yritysten huolestusta lisäävät kuitenkin myös maksullista neuvontaa tarjoavien konsult</w:t>
      </w:r>
      <w:r>
        <w:rPr>
          <w:noProof/>
        </w:rPr>
        <w:t>tiyritysten kampanjat sekä virheellisen tietojen levittäminen esimerkiksi tarpeesta hankkia järjestelmällisesti suostumus rekisteröidyiltä</w:t>
      </w:r>
      <w:r>
        <w:rPr>
          <w:rStyle w:val="FootnoteReference"/>
          <w:noProof/>
        </w:rPr>
        <w:footnoteReference w:id="47"/>
      </w:r>
      <w:r>
        <w:rPr>
          <w:noProof/>
        </w:rPr>
        <w:t>, ja kansallisella tasolla käyttöön otetut lisävaatimukset.</w:t>
      </w:r>
    </w:p>
    <w:p w:rsidR="005B393D" w:rsidRDefault="000A69F4">
      <w:pPr>
        <w:rPr>
          <w:noProof/>
        </w:rPr>
      </w:pPr>
      <w:r>
        <w:rPr>
          <w:noProof/>
        </w:rPr>
        <w:t>Mikroyritykset ja pienet yritykset ovatkin pyytäneet juur</w:t>
      </w:r>
      <w:r>
        <w:rPr>
          <w:noProof/>
        </w:rPr>
        <w:t>i niiden tilanteeseen räätälöityjä käytännönläheisiä ohjeita. Osa tietosuojaviranomaisista on jo antanut ohjeita kansallisella tasolla</w:t>
      </w:r>
      <w:r>
        <w:rPr>
          <w:rStyle w:val="FootnoteReference"/>
          <w:noProof/>
        </w:rPr>
        <w:footnoteReference w:id="48"/>
      </w:r>
      <w:r>
        <w:rPr>
          <w:noProof/>
        </w:rPr>
        <w:t xml:space="preserve">. Kansallisten aloitteiden täydentämiseksi komissio on julkaissut tiedotusmateriaalia, jotta tällaisia yrityksiä voidaan </w:t>
      </w:r>
      <w:r>
        <w:rPr>
          <w:noProof/>
        </w:rPr>
        <w:t>auttaa noudattamaan uusia sääntöjä käytännössä</w:t>
      </w:r>
      <w:r>
        <w:rPr>
          <w:rStyle w:val="FootnoteReference"/>
          <w:noProof/>
        </w:rPr>
        <w:footnoteReference w:id="49"/>
      </w:r>
      <w:r>
        <w:rPr>
          <w:noProof/>
        </w:rPr>
        <w:t>.</w:t>
      </w:r>
    </w:p>
    <w:p w:rsidR="005B393D" w:rsidRDefault="000A69F4">
      <w:pPr>
        <w:pStyle w:val="Heading3"/>
        <w:rPr>
          <w:noProof/>
        </w:rPr>
      </w:pPr>
      <w:r>
        <w:rPr>
          <w:noProof/>
        </w:rPr>
        <w:t>Asetuksen mukaisen välineistön hyödyntäminen</w:t>
      </w:r>
    </w:p>
    <w:p w:rsidR="005B393D" w:rsidRDefault="000A69F4">
      <w:pPr>
        <w:rPr>
          <w:noProof/>
          <w:sz w:val="22"/>
        </w:rPr>
      </w:pPr>
      <w:r>
        <w:rPr>
          <w:noProof/>
        </w:rPr>
        <w:t>Asetuksessa säädetään välineistä, joilla voidaan osoittaa, että sitä on noudatettu. Tällaisia välineitä ovat esimerkiksi vakiosopimuslausekkeet, käytännesäännöt j</w:t>
      </w:r>
      <w:r>
        <w:rPr>
          <w:noProof/>
        </w:rPr>
        <w:t xml:space="preserve">a vasta käyttöönotetut sertifiointimekanismit. </w:t>
      </w:r>
    </w:p>
    <w:p w:rsidR="005B393D" w:rsidRDefault="000A69F4">
      <w:pPr>
        <w:rPr>
          <w:noProof/>
        </w:rPr>
      </w:pPr>
      <w:r>
        <w:rPr>
          <w:noProof/>
        </w:rPr>
        <w:t>Vakiosopimuslausekkeet ovat mallilausekkeita, jotka voidaan sisällyttää vapaaehtoispohjalta esimerkiksi rekisterinpitäjän ja tietojen käsittelijän väliseen sopimukseen ja joissa vahvistetaan asetuksen mukaise</w:t>
      </w:r>
      <w:r>
        <w:rPr>
          <w:noProof/>
        </w:rPr>
        <w:t>t sopimuspuolten velvollisuudet. Asetuksella laajennetaan mahdollisuuksia käyttää vakiosopimuslausekkeita sekä kansainvälisissä että EU:n sisäisissä tiedonsiirroissa</w:t>
      </w:r>
      <w:r>
        <w:rPr>
          <w:rStyle w:val="FootnoteReference"/>
          <w:noProof/>
        </w:rPr>
        <w:footnoteReference w:id="50"/>
      </w:r>
      <w:r>
        <w:rPr>
          <w:noProof/>
        </w:rPr>
        <w:t>. Vakiosopimuslausekkeiden laaja käyttö kansainvälisissä tiedonsiirroissa</w:t>
      </w:r>
      <w:r>
        <w:rPr>
          <w:rStyle w:val="FootnoteReference"/>
          <w:noProof/>
        </w:rPr>
        <w:footnoteReference w:id="51"/>
      </w:r>
      <w:r>
        <w:rPr>
          <w:noProof/>
        </w:rPr>
        <w:t xml:space="preserve"> viittaa siihen,</w:t>
      </w:r>
      <w:r>
        <w:rPr>
          <w:noProof/>
        </w:rPr>
        <w:t xml:space="preserve"> että niistä on hyötyä yrityksille vaatimuksenmukaisuustoimissa. Niistä on myös erityistä hyötyä yrityksille, joilla ei ole resursseja neuvotella erillisiä sopimuksia kunkin tietojenkäsittelykumppanin kanssa.</w:t>
      </w:r>
    </w:p>
    <w:p w:rsidR="005B393D" w:rsidRDefault="000A69F4">
      <w:pPr>
        <w:rPr>
          <w:noProof/>
        </w:rPr>
      </w:pPr>
      <w:r>
        <w:rPr>
          <w:noProof/>
        </w:rPr>
        <w:t>Lisäksi joillakin aloilla katsotaan, että vakio</w:t>
      </w:r>
      <w:r>
        <w:rPr>
          <w:noProof/>
        </w:rPr>
        <w:t>sopimuslausekkeiden hyväksyminen on hyödyllinen tapa edistää yhdenmukaisuutta, erityisesti jos lausekkeet ovat komission hyväksymiä. Komissio pyrkii hyödyntämään asetuksen tarjoamia mahdollisuuksia ja päivittämään nykyiset lausekkeet yhdessä sidosryhmien k</w:t>
      </w:r>
      <w:r>
        <w:rPr>
          <w:noProof/>
        </w:rPr>
        <w:t xml:space="preserve">anssa. </w:t>
      </w:r>
    </w:p>
    <w:p w:rsidR="005B393D" w:rsidRDefault="000A69F4">
      <w:pPr>
        <w:rPr>
          <w:noProof/>
        </w:rPr>
      </w:pPr>
      <w:r>
        <w:rPr>
          <w:noProof/>
        </w:rPr>
        <w:t>Käytännesääntöjen noudattaminen on toinen operatiivinen ja käytännön väline, jonka avulla toimijoiden on helpompi osoittaa noudattavansa asetuksen vaatimuksia</w:t>
      </w:r>
      <w:r>
        <w:rPr>
          <w:rStyle w:val="FootnoteReference"/>
          <w:noProof/>
        </w:rPr>
        <w:footnoteReference w:id="52"/>
      </w:r>
      <w:r>
        <w:rPr>
          <w:noProof/>
        </w:rPr>
        <w:t>. Tällaisten käytännesääntöjen olisi oltava toimialajärjestöjen ja muiden, rekisterinpitä</w:t>
      </w:r>
      <w:r>
        <w:rPr>
          <w:noProof/>
        </w:rPr>
        <w:t>jien tai henkilötietojen käsittelijöiden eri ryhmiä edustavien elinten laatimia, ja niissä olisi esitettävä, miten tietosuojasäännöt voidaan panna täytäntöön tietyllä alalla. Käytännesäännöillä velvoitteet voidaan mukauttaa riskeihin</w:t>
      </w:r>
      <w:r>
        <w:rPr>
          <w:rStyle w:val="FootnoteReference"/>
          <w:noProof/>
        </w:rPr>
        <w:footnoteReference w:id="53"/>
      </w:r>
      <w:r>
        <w:rPr>
          <w:noProof/>
        </w:rPr>
        <w:t>, minkä vuoksi ne voiv</w:t>
      </w:r>
      <w:r>
        <w:rPr>
          <w:noProof/>
        </w:rPr>
        <w:t xml:space="preserve">at olla pienille ja keskisuurille yrityksille erittäin hyödyllinen ja kustannustehokas tapa täyttää velvoitteet. </w:t>
      </w:r>
    </w:p>
    <w:p w:rsidR="005B393D" w:rsidRDefault="000A69F4">
      <w:pPr>
        <w:rPr>
          <w:noProof/>
        </w:rPr>
      </w:pPr>
      <w:r>
        <w:rPr>
          <w:noProof/>
        </w:rPr>
        <w:t>Myös sertifiointi voi olla hyödyllinen keino osoittaa, että tiettyjä asetuksen vaatimuksia on noudatettu. Se voi parantaa yritysten oikeusvarm</w:t>
      </w:r>
      <w:r>
        <w:rPr>
          <w:noProof/>
        </w:rPr>
        <w:t>uutta ja edistää asetusta maailmanlaajuisesti. Euroopan tietosuojaneuvoston hiljattain hyväksymät sertifiointi- ja akkreditointiohjeet</w:t>
      </w:r>
      <w:r>
        <w:rPr>
          <w:rStyle w:val="FootnoteReference"/>
          <w:noProof/>
        </w:rPr>
        <w:footnoteReference w:id="54"/>
      </w:r>
      <w:r>
        <w:rPr>
          <w:noProof/>
        </w:rPr>
        <w:t xml:space="preserve"> mahdollistavat sertifiointijärjestelmien kehittämisen EU:ssa. Komissio seuraa tätä kehitystä ja käyttää tarvittaessa ase</w:t>
      </w:r>
      <w:r>
        <w:rPr>
          <w:noProof/>
        </w:rPr>
        <w:t>tuksessa vahvistettua valtuutusta vahvistaa sertifiointia koskevat vaatimukset. Komissio voi myös esittää EU:n standardointielimille pyynnön standardoida asetuksen kannalta olennaiset tekijät.</w:t>
      </w:r>
    </w:p>
    <w:p w:rsidR="005B393D" w:rsidRDefault="000A69F4">
      <w:pPr>
        <w:pStyle w:val="Heading1"/>
        <w:numPr>
          <w:ilvl w:val="0"/>
          <w:numId w:val="71"/>
        </w:numPr>
        <w:rPr>
          <w:noProof/>
        </w:rPr>
      </w:pPr>
      <w:r>
        <w:rPr>
          <w:noProof/>
        </w:rPr>
        <w:t>Ylöspäin tapahtuva lähentyminen etenee kansainvälisellä tasolla</w:t>
      </w:r>
      <w:r>
        <w:rPr>
          <w:noProof/>
        </w:rPr>
        <w:t xml:space="preserve"> </w:t>
      </w:r>
    </w:p>
    <w:p w:rsidR="005B393D" w:rsidRDefault="000A69F4">
      <w:pPr>
        <w:rPr>
          <w:noProof/>
        </w:rPr>
      </w:pPr>
      <w:r>
        <w:rPr>
          <w:noProof/>
        </w:rPr>
        <w:t>Vaatimus henkilötietojen suojasta ei rajoitu EU:hun. Hiljattain toteutetun verkkoturvallisuutta koskevan kansainvälisen kyselytutkimuksen mukaan luottamuspula leviää ympäri maailmaa, minkä vuoksi ihmiset muuttavat verkkokäyttäytymistään</w:t>
      </w:r>
      <w:r>
        <w:rPr>
          <w:rStyle w:val="FootnoteReference"/>
          <w:noProof/>
        </w:rPr>
        <w:footnoteReference w:id="55"/>
      </w:r>
      <w:r>
        <w:rPr>
          <w:noProof/>
        </w:rPr>
        <w:t>. Yhä useammat yr</w:t>
      </w:r>
      <w:r>
        <w:rPr>
          <w:noProof/>
        </w:rPr>
        <w:t xml:space="preserve">itykset ovat vastanneet näihin huolenaiheisiin tarjoamalla asetuksella luodut oikeudet oma-aloitteisesti myös EU:n ulkopuolella oleville asiakkailleen. </w:t>
      </w:r>
    </w:p>
    <w:p w:rsidR="005B393D" w:rsidRDefault="000A69F4">
      <w:pPr>
        <w:rPr>
          <w:noProof/>
        </w:rPr>
      </w:pPr>
      <w:r>
        <w:rPr>
          <w:noProof/>
        </w:rPr>
        <w:t xml:space="preserve">Koska myös valtiot eri puolilla maailmaa joutuvat yhä useammin vastaamaan samankaltaisiin haasteisiin, </w:t>
      </w:r>
      <w:r>
        <w:rPr>
          <w:noProof/>
        </w:rPr>
        <w:t>ne laativat uusia tietosuojasääntöjä tai uudistavat nykyisiä sääntöjään. Näillä säännöillä on usein yhteisiä piirteitä EU:n tietosuojajärjestelmän kanssa: kyseessä on esimerkiksi alakohtaisten sääntöjen sijaan yleislainsäädäntö, jossa vahvistetaan täytäntö</w:t>
      </w:r>
      <w:r>
        <w:rPr>
          <w:noProof/>
        </w:rPr>
        <w:t>önpanokelpoisia subjektiivisia oikeuksia ja perustetaan riippumaton valvontaviranomainen. Suuntaus on aidosti maailmanlaajuinen, sillä se ulottuu niin Etelä-Koreasta Brasiliaan, Chilestä Thaimaahan kuin Intiasta Indonesiaan. Euroopan neuvoston yleissopimuk</w:t>
      </w:r>
      <w:r>
        <w:rPr>
          <w:noProof/>
        </w:rPr>
        <w:t>sen 108</w:t>
      </w:r>
      <w:r>
        <w:rPr>
          <w:rStyle w:val="FootnoteReference"/>
          <w:noProof/>
        </w:rPr>
        <w:footnoteReference w:id="56"/>
      </w:r>
      <w:r>
        <w:rPr>
          <w:noProof/>
        </w:rPr>
        <w:t xml:space="preserve"> jäsenmäärän kasvu on niin ikään selkeä merkki tästä ylöspäin tapahtuvasta lähentymisestä. Komissio osallistui merkittävällä panoksella hiljattain tehtyyn yleissopimuksen uudistukseen</w:t>
      </w:r>
      <w:r>
        <w:rPr>
          <w:rStyle w:val="FootnoteReference"/>
          <w:noProof/>
        </w:rPr>
        <w:footnoteReference w:id="57"/>
      </w:r>
      <w:r>
        <w:rPr>
          <w:noProof/>
        </w:rPr>
        <w:t xml:space="preserve">. </w:t>
      </w:r>
    </w:p>
    <w:p w:rsidR="005B393D" w:rsidRDefault="000A69F4">
      <w:pPr>
        <w:rPr>
          <w:i/>
          <w:iCs/>
          <w:noProof/>
        </w:rPr>
      </w:pPr>
      <w:r>
        <w:rPr>
          <w:i/>
          <w:iCs/>
          <w:noProof/>
        </w:rPr>
        <w:t>Turvallisten ja vapaiden tietovirtojen edistäminen muun muass</w:t>
      </w:r>
      <w:r>
        <w:rPr>
          <w:i/>
          <w:iCs/>
          <w:noProof/>
        </w:rPr>
        <w:t>a tietosuojan riittävyyttä koskevilla päätöksillä</w:t>
      </w:r>
    </w:p>
    <w:p w:rsidR="005B393D" w:rsidRDefault="000A69F4">
      <w:pPr>
        <w:rPr>
          <w:noProof/>
        </w:rPr>
      </w:pPr>
      <w:r>
        <w:rPr>
          <w:noProof/>
        </w:rPr>
        <w:t xml:space="preserve">Lähentymisen eteneminen tarjoaa uusia mahdollisuuksia helpottaa tietovirtoja ja siten myös kauppaa ja viranomaisten välistä yhteistyötä. Samalla se parantaa EU:ssa asuvien yksilöiden tietojen suojelutasoa, </w:t>
      </w:r>
      <w:r>
        <w:rPr>
          <w:noProof/>
        </w:rPr>
        <w:t xml:space="preserve">kun tietoja siirretään ulkomaille. </w:t>
      </w:r>
    </w:p>
    <w:p w:rsidR="005B393D" w:rsidRDefault="000A69F4">
      <w:pPr>
        <w:rPr>
          <w:noProof/>
        </w:rPr>
      </w:pPr>
      <w:r>
        <w:rPr>
          <w:noProof/>
        </w:rPr>
        <w:t>Komissio on toteuttanut vuonna 2017 antamassaan henkilötietojen kauppaa ja suojaa globalisoituvassa maailmassa käsittelevässä tiedonannossa</w:t>
      </w:r>
      <w:r>
        <w:rPr>
          <w:rStyle w:val="FootnoteReference"/>
          <w:noProof/>
        </w:rPr>
        <w:footnoteReference w:id="58"/>
      </w:r>
      <w:r>
        <w:rPr>
          <w:noProof/>
        </w:rPr>
        <w:t xml:space="preserve"> esitettyä strategiaa tehostamalla yhteistyötään kolmansien maiden ja muiden kan</w:t>
      </w:r>
      <w:r>
        <w:rPr>
          <w:noProof/>
        </w:rPr>
        <w:t>sainvälisten kumppanien kanssa yksityisyyttä koskevien järjestelmien lähentämiseen liittyvien tekijöiden pohjalta ja kehittämällä niitä edelleen. Tätä varten on muun muassa selvitetty mahdollisuutta tietosuojan tason riittävyyden toteamiseen valikoitujen k</w:t>
      </w:r>
      <w:r>
        <w:rPr>
          <w:noProof/>
        </w:rPr>
        <w:t>olmansien maiden kanssa</w:t>
      </w:r>
      <w:r>
        <w:rPr>
          <w:rStyle w:val="FootnoteReference"/>
          <w:noProof/>
        </w:rPr>
        <w:footnoteReference w:id="59"/>
      </w:r>
      <w:r>
        <w:rPr>
          <w:noProof/>
        </w:rPr>
        <w:t>. Tämä työ on tuottanut merkittäviä tuloksia. Niihin kuuluu erityisesti helmikuussa 2019 voimaan tullut EU:n ja Japanin vastavuoroinen tietosuojan riittävyyttä koskeva järjestely, jolla luotiin maailman suurin vapaiden ja turvallist</w:t>
      </w:r>
      <w:r>
        <w:rPr>
          <w:noProof/>
        </w:rPr>
        <w:t>en tietovirtojen alue. Etelä-Korean kanssa käytävät tietosuojan tason riittävyyttä koskevat neuvottelut ovat jo edenneet pitkälle. Parhaillaan tehdään myös taustatyötä, jotta voidaan käynnistää keskustelut tietosuojan tason riittävyydestä useiden Latinalai</w:t>
      </w:r>
      <w:r>
        <w:rPr>
          <w:noProof/>
        </w:rPr>
        <w:t>sen Amerikan maiden, kuten Chilen ja Brasilian, kanssa, kunhan vireillä olevat lainsäädäntömenettelyt saadaan päätökseen. Lupaavaa kehitystä on tapahtunut myös eri puolilla Aasiaa, kuten Intiassa, Indonesiassa ja Taiwanissa, sekä Euroopan itäisillä ja etel</w:t>
      </w:r>
      <w:r>
        <w:rPr>
          <w:noProof/>
        </w:rPr>
        <w:t xml:space="preserve">äisillä naapurialueilla. Tämä saattaa avata mahdollisuuksia tuleville tietosuojan riittävyyttä koskeville päätöksille. </w:t>
      </w:r>
    </w:p>
    <w:p w:rsidR="005B393D" w:rsidRDefault="000A69F4">
      <w:pPr>
        <w:rPr>
          <w:noProof/>
        </w:rPr>
      </w:pPr>
      <w:r>
        <w:rPr>
          <w:noProof/>
        </w:rPr>
        <w:t>Komissio toteaa samalla tyytyväisenä, että muut valtiot, jotka ovat ottaneet käyttöön asetuksessa vahvistettua tietosuojan tason riittäv</w:t>
      </w:r>
      <w:r>
        <w:rPr>
          <w:noProof/>
        </w:rPr>
        <w:t>yyttä vastaavia tietojen siirtoa koskevia välineitä, ovat tunnustaneet, että EU ja ne valtiot, joiden tietosuojan tason EU on todennut riittäväksi, takaavat vaaditun suojelutason</w:t>
      </w:r>
      <w:r>
        <w:rPr>
          <w:rStyle w:val="FootnoteReference"/>
          <w:noProof/>
        </w:rPr>
        <w:footnoteReference w:id="60"/>
      </w:r>
      <w:r>
        <w:rPr>
          <w:noProof/>
        </w:rPr>
        <w:t>. Näin voidaan luoda valtioiden verkosto, jossa tiedot voivat liikkua vapaast</w:t>
      </w:r>
      <w:r>
        <w:rPr>
          <w:noProof/>
        </w:rPr>
        <w:t xml:space="preserve">i. </w:t>
      </w:r>
    </w:p>
    <w:p w:rsidR="005B393D" w:rsidRDefault="000A69F4">
      <w:pPr>
        <w:rPr>
          <w:noProof/>
        </w:rPr>
      </w:pPr>
      <w:r>
        <w:rPr>
          <w:noProof/>
        </w:rPr>
        <w:t>Tämän lisäksi tehdään tiiviisti töitä muiden kolmansien maiden, kuten Argentiinan, Israelin, Kanadan ja Uuden-Seelannin, kanssa, jotta voidaan varmistaa vuoden 1995 tietosuojadirektiivin perusteella hyväksyttyjen tietosuojan riittävyyttä koskevien päät</w:t>
      </w:r>
      <w:r>
        <w:rPr>
          <w:noProof/>
        </w:rPr>
        <w:t xml:space="preserve">östen jatkuvuus asetuksen nojalla. Samaan aikaan EU:n ja Yhdysvaltojen välinen Privacy Shield </w:t>
      </w:r>
      <w:r>
        <w:rPr>
          <w:noProof/>
        </w:rPr>
        <w:noBreakHyphen/>
        <w:t>järjestely on osoittautunut hyödylliseksi välineeksi sen varmistamisessa, että Atlantin yli tapahtuvat tiedonsiirrot perustuvat korkeatasoiseen suojaan. Järjeste</w:t>
      </w:r>
      <w:r>
        <w:rPr>
          <w:noProof/>
        </w:rPr>
        <w:t>lyyn osallistuu yli 4 700 yritystä</w:t>
      </w:r>
      <w:r>
        <w:rPr>
          <w:rStyle w:val="FootnoteReference"/>
          <w:noProof/>
        </w:rPr>
        <w:footnoteReference w:id="61"/>
      </w:r>
      <w:r>
        <w:rPr>
          <w:noProof/>
        </w:rPr>
        <w:t>. Vuosittaisella arvioinnilla varmistetaan, että järjestelyn moitteeton toiminta tarkistetaan säännöllisesti ja että uusiin ongelmiin voidaan puuttua ajoissa.</w:t>
      </w:r>
    </w:p>
    <w:p w:rsidR="005B393D" w:rsidRDefault="000A69F4">
      <w:pPr>
        <w:rPr>
          <w:noProof/>
        </w:rPr>
      </w:pPr>
      <w:r>
        <w:rPr>
          <w:noProof/>
        </w:rPr>
        <w:t>Koska tietovirtoihin ei ole yhtä kaikille sopivaa ratkaisua, k</w:t>
      </w:r>
      <w:r>
        <w:rPr>
          <w:noProof/>
        </w:rPr>
        <w:t xml:space="preserve">omissio tekee myös yhteistyötä sidosryhmien ja tietosuojaneuvoston kanssa, jotta voidaan hyödyntää asetukseen sisältyvien kansainvälisiä tiedonsiirtoja koskevien välineiden koko potentiaali. Tällaisia välineitä ovat erityisesti vakiosopimuslausekkeet sekä </w:t>
      </w:r>
      <w:r>
        <w:rPr>
          <w:noProof/>
        </w:rPr>
        <w:t>sertifiointijärjestelmien, käytännesääntöjen ja julkisten elinten hallintomenettelyjen kehittäminen. Komissio on kiinnostunut vaihtamaan tähän liittyviä kokemuksia ja parhaita käytäntöjä muiden sellaisten järjestelmien kanssa, jotka ovat kenties kehittänee</w:t>
      </w:r>
      <w:r>
        <w:rPr>
          <w:noProof/>
        </w:rPr>
        <w:t>t johonkin tällaiseen välineeseen liittyvää erityisosaamista. Komissio harkitsee asetuksella myönnettyjen valtuuksien käyttöä näiden tiedonsiirtoja koskevien välineiden ja erityisesti vakiosopimuslausekkeiden osalta.</w:t>
      </w:r>
    </w:p>
    <w:p w:rsidR="005B393D" w:rsidRDefault="000A69F4">
      <w:pPr>
        <w:rPr>
          <w:i/>
          <w:iCs/>
          <w:noProof/>
        </w:rPr>
      </w:pPr>
      <w:r>
        <w:rPr>
          <w:noProof/>
        </w:rPr>
        <w:t>Yksinomaan kahdenvälisten välineiden li</w:t>
      </w:r>
      <w:r>
        <w:rPr>
          <w:noProof/>
        </w:rPr>
        <w:t>säksi voisi olla hyödyllistä selvittää, voisivatko samanmieliset valtiot laatia tätä alaa koskevan monikansallisen kehyksen nyt kun tiedonsiirrot ovat yhä tärkeämpi osa kauppaa, viestintää ja sosiaalista vuorovaikutusta. Tällainen väline mahdollistaisi tie</w:t>
      </w:r>
      <w:r>
        <w:rPr>
          <w:noProof/>
        </w:rPr>
        <w:t>don vapaan liikkumisen sopimuspuolten kesken ja varmistaisi samalla tarvittavan suojan yhteisten arvojen ja toisiaan lähentyneiden järjestelmien perusteella. Väline voitaisiin kehittää esimerkiksi uudistetun yleissopimuksen 108 pohjalta tai hakemalla innoi</w:t>
      </w:r>
      <w:r>
        <w:rPr>
          <w:noProof/>
        </w:rPr>
        <w:t xml:space="preserve">tusta Japanin tämän vuoden alussa käynnistämästä ”Data Free Flow with Trust” </w:t>
      </w:r>
      <w:r>
        <w:rPr>
          <w:noProof/>
        </w:rPr>
        <w:noBreakHyphen/>
        <w:t>aloitteesta (luottamukseen perustuvat vapaat tietovirrat).</w:t>
      </w:r>
    </w:p>
    <w:p w:rsidR="005B393D" w:rsidRDefault="000A69F4">
      <w:pPr>
        <w:rPr>
          <w:i/>
          <w:noProof/>
        </w:rPr>
      </w:pPr>
      <w:r>
        <w:rPr>
          <w:i/>
          <w:noProof/>
        </w:rPr>
        <w:t>Uutta synergiaa kaupan säännösten ja tietosuojasäännösten välille</w:t>
      </w:r>
    </w:p>
    <w:p w:rsidR="005B393D" w:rsidRDefault="000A69F4">
      <w:pPr>
        <w:rPr>
          <w:noProof/>
        </w:rPr>
      </w:pPr>
      <w:r>
        <w:rPr>
          <w:noProof/>
        </w:rPr>
        <w:t>Samalla kun komissio edistää tietosuojavaatimusten lä</w:t>
      </w:r>
      <w:r>
        <w:rPr>
          <w:noProof/>
        </w:rPr>
        <w:t>hentymistä kansainvälisellä tasolla, se torjuu määrätietoisesti digitaalista protektionismia. Siksi komissio on laatinut kauppasopimuksia varten erityisiä määräyksiä tietovirroista ja tietosuojasta ja sisällyttää ne järjestelmällisesti kahden- ja monenväli</w:t>
      </w:r>
      <w:r>
        <w:rPr>
          <w:noProof/>
        </w:rPr>
        <w:t>siin neuvotteluihin, kuten parhaillaan käynnissä oleviin WTO:n sähköistä kaupankäyntiä koskeviin keskusteluihin. Näillä horisontaalisilla määräyksillä suljetaan pois puhtaasti protektionistiset toimenpiteet, kuten tietojen sijaintia koskevat pakottavat vaa</w:t>
      </w:r>
      <w:r>
        <w:rPr>
          <w:noProof/>
        </w:rPr>
        <w:t xml:space="preserve">timukset, mutta säilytetään osapuolten sääntelyvapaus suojata perusoikeus tietosuojaan. </w:t>
      </w:r>
    </w:p>
    <w:p w:rsidR="005B393D" w:rsidRDefault="000A69F4">
      <w:pPr>
        <w:rPr>
          <w:noProof/>
        </w:rPr>
      </w:pPr>
      <w:r>
        <w:rPr>
          <w:noProof/>
        </w:rPr>
        <w:t>Vaikka tietosuojaa koskeva vuoropuhelu ja kauppaneuvottelut on pidettävä erillään, ne voivat täydentää toisiaan: EU:n ja Japanin vastavuoroinen tietosuojan riittävyytt</w:t>
      </w:r>
      <w:r>
        <w:rPr>
          <w:noProof/>
        </w:rPr>
        <w:t>ä koskeva järjestely on paras esimerkki tällaisesta synergiasta, sillä se helpottaa entisestään keskinäistä kauppaa ja voimistaa talouskumppanuussopimuksen hyötyjä. Tämän tyyppinen lähentyminen, joka perustuu yhteisiin arvoihin ja tiukkoihin vaatimuksiin j</w:t>
      </w:r>
      <w:r>
        <w:rPr>
          <w:noProof/>
        </w:rPr>
        <w:t>a jota tuetaan tehokkaalla noudattamisen valvonnalla, tarjoaa itse asiassa lujimman perustan henkilötietojen vaihtamiselle, minkä EU:n kansainväliset kumppanit yhä laajemmin tunnustavat</w:t>
      </w:r>
      <w:r>
        <w:rPr>
          <w:rStyle w:val="FootnoteReference"/>
          <w:noProof/>
        </w:rPr>
        <w:footnoteReference w:id="62"/>
      </w:r>
      <w:r>
        <w:rPr>
          <w:noProof/>
        </w:rPr>
        <w:t>. Koska yritykset toimivat yhä useammin valtioiden rajojen yli, ne sov</w:t>
      </w:r>
      <w:r>
        <w:rPr>
          <w:noProof/>
        </w:rPr>
        <w:t>eltaisivat mieluiten samankaltaisia sääntöjä koko liiketoimintaansa kaikkialla maailmassa. Siksi tällainen lähentyminen auttaa luomaan toimintaympäristön, joka edistää suoria investointeja, helpottaa kaupankäyntiä ja parantaa liikekumppaneiden välistä luot</w:t>
      </w:r>
      <w:r>
        <w:rPr>
          <w:noProof/>
        </w:rPr>
        <w:t>tamusta.</w:t>
      </w:r>
    </w:p>
    <w:p w:rsidR="005B393D" w:rsidRDefault="000A69F4">
      <w:pPr>
        <w:pStyle w:val="Heading3"/>
        <w:rPr>
          <w:noProof/>
        </w:rPr>
      </w:pPr>
      <w:r>
        <w:rPr>
          <w:noProof/>
        </w:rPr>
        <w:t>Tietojenvaihdon helpottaminen rikollisuuden ja terrorismin torjumiseksi soveltamalla asianmukaisia suojatoimia</w:t>
      </w:r>
    </w:p>
    <w:p w:rsidR="005B393D" w:rsidRDefault="000A69F4">
      <w:pPr>
        <w:rPr>
          <w:noProof/>
        </w:rPr>
      </w:pPr>
      <w:r>
        <w:rPr>
          <w:noProof/>
        </w:rPr>
        <w:t xml:space="preserve">Tietosuojajärjestelmien entistä parempi yhteensopivuus voi myös helpottaa merkittävästi EU:n ja ulkomaisten sääntely-, poliisi- ja </w:t>
      </w:r>
      <w:r>
        <w:rPr>
          <w:noProof/>
        </w:rPr>
        <w:t>oikeusviranomaisten välistä tietojenvaihtoa ja siten tehostaa ja nopeuttaa lainvalvontayhteistyötä</w:t>
      </w:r>
      <w:r>
        <w:rPr>
          <w:rStyle w:val="FootnoteReference"/>
          <w:noProof/>
        </w:rPr>
        <w:footnoteReference w:id="63"/>
      </w:r>
      <w:r>
        <w:rPr>
          <w:noProof/>
        </w:rPr>
        <w:t xml:space="preserve">. Komissio harkitsee käyttävänsä tätä varten lainvalvontatarkoituksessa käsiteltyjen henkilötietojen suojaa koskevaan direktiiviin perustuvaa mahdollisuutta </w:t>
      </w:r>
      <w:r>
        <w:rPr>
          <w:noProof/>
        </w:rPr>
        <w:t>hyväksyä tietosuojan riittävyyttä koskevia päätöksiä voidakseen tiivistää yhteistyötään keskeisten kumppanien kanssa rikollisuuden ja terrorismin torjunnassa. Lisäksi muiden tärkeiden turvallisuuskumppanien kanssa voidaan käyttää mallina EU:n ja Yhdysvalto</w:t>
      </w:r>
      <w:r>
        <w:rPr>
          <w:noProof/>
        </w:rPr>
        <w:t>jen välistä tietosuojaa koskevaa puitesopimusta</w:t>
      </w:r>
      <w:r>
        <w:rPr>
          <w:rStyle w:val="FootnoteReference"/>
          <w:noProof/>
        </w:rPr>
        <w:footnoteReference w:id="64"/>
      </w:r>
      <w:r>
        <w:rPr>
          <w:noProof/>
        </w:rPr>
        <w:t xml:space="preserve">, joka tuli voimaan helmikuussa 2017. </w:t>
      </w:r>
    </w:p>
    <w:p w:rsidR="005B393D" w:rsidRDefault="000A69F4">
      <w:pPr>
        <w:rPr>
          <w:noProof/>
        </w:rPr>
      </w:pPr>
      <w:r>
        <w:rPr>
          <w:noProof/>
        </w:rPr>
        <w:t>Muita esimerkkejä siitä, miten suuri merkitys tiukoilla tietosuojavaatimuksilla on kolmansien maiden kanssa tehtävän vakaan lainvalvontayhteistyön kannalta, ovat matkust</w:t>
      </w:r>
      <w:r>
        <w:rPr>
          <w:noProof/>
        </w:rPr>
        <w:t>ajarekisteritietojen (PNR-tiedot) siirtäminen</w:t>
      </w:r>
      <w:r>
        <w:rPr>
          <w:rStyle w:val="FootnoteReference"/>
          <w:noProof/>
        </w:rPr>
        <w:footnoteReference w:id="65"/>
      </w:r>
      <w:r>
        <w:rPr>
          <w:noProof/>
        </w:rPr>
        <w:t xml:space="preserve"> ja operatiivisten tietojen vaihtaminen Europolin ja tärkeiden kansainvälisten kumppanien välillä. Tähän liittyviä neuvotteluja kansainvälisistä sopimuksista käydään parhaillaan tai ollaan aloittamassa useiden </w:t>
      </w:r>
      <w:r>
        <w:rPr>
          <w:noProof/>
        </w:rPr>
        <w:t>EU:n eteläisen naapuruston</w:t>
      </w:r>
      <w:r>
        <w:rPr>
          <w:rStyle w:val="FootnoteReference"/>
          <w:noProof/>
        </w:rPr>
        <w:footnoteReference w:id="66"/>
      </w:r>
      <w:r>
        <w:rPr>
          <w:noProof/>
        </w:rPr>
        <w:t xml:space="preserve"> maiden kanssa. </w:t>
      </w:r>
    </w:p>
    <w:p w:rsidR="005B393D" w:rsidRDefault="000A69F4">
      <w:pPr>
        <w:rPr>
          <w:noProof/>
        </w:rPr>
      </w:pPr>
      <w:r>
        <w:rPr>
          <w:noProof/>
        </w:rPr>
        <w:t>Vahvat tietosuojaan liittyvät suojatoimet ovat olennainen osa myös niitä sähköisen todistusaineiston rajatylittävää saatavuutta rikostutkinnoissa koskevia sopimuksia, jotka on tarkoitus tehdä myöhemmin kahdenväli</w:t>
      </w:r>
      <w:r>
        <w:rPr>
          <w:noProof/>
        </w:rPr>
        <w:t>sellä (EU:n ja Yhdysvaltojen välinen sopimus) tai monenvälisellä tasolla (Euroopan neuvostossa tehdyn tietoverkkorikollisuutta koskevan Budapestin yleissopimuksen toinen lisäpöytäkirja)</w:t>
      </w:r>
      <w:r>
        <w:rPr>
          <w:rStyle w:val="FootnoteReference"/>
          <w:noProof/>
        </w:rPr>
        <w:footnoteReference w:id="67"/>
      </w:r>
      <w:r>
        <w:rPr>
          <w:noProof/>
        </w:rPr>
        <w:t>.</w:t>
      </w:r>
    </w:p>
    <w:p w:rsidR="005B393D" w:rsidRDefault="000A69F4">
      <w:pPr>
        <w:rPr>
          <w:i/>
          <w:iCs/>
          <w:noProof/>
        </w:rPr>
      </w:pPr>
      <w:r>
        <w:rPr>
          <w:i/>
          <w:iCs/>
          <w:noProof/>
        </w:rPr>
        <w:t>Tietosuojan täytäntöönpanon valvontaa koskevan yhteistyön edistämine</w:t>
      </w:r>
      <w:r>
        <w:rPr>
          <w:i/>
          <w:iCs/>
          <w:noProof/>
        </w:rPr>
        <w:t xml:space="preserve">n </w:t>
      </w:r>
    </w:p>
    <w:p w:rsidR="005B393D" w:rsidRDefault="000A69F4">
      <w:pPr>
        <w:rPr>
          <w:noProof/>
        </w:rPr>
      </w:pPr>
      <w:r>
        <w:rPr>
          <w:noProof/>
        </w:rPr>
        <w:t>Yksityisyyttä koskevien vaatimusten noudattamista koskevat ongelmat tai tietoturvahäiriöt voivat vaikuttaa samanaikaisesti suuriin ihmismääriin eri oikeudenkäyttöalueilla. Siksi valvontaviranomaisten väliset tiiviimmät yhteistyömuodot kansainvälisellä t</w:t>
      </w:r>
      <w:r>
        <w:rPr>
          <w:noProof/>
        </w:rPr>
        <w:t>asolla voivat auttaa varmistamaan sekä tehokkaamman yksilöiden oikeuksien suojan että vakaamman toimintaympäristön alan toimijoille. Tätä taustaa vasten ja tiiviissä yhteydessä tietosuojaneuvoston kanssa komissio pyrkii helpottamaan täytäntöönpanon valvont</w:t>
      </w:r>
      <w:r>
        <w:rPr>
          <w:noProof/>
        </w:rPr>
        <w:t>aan liittyvää yhteistyötä ja keskinäistä avunantoa EU:n ja ulkomaisten valvontaviranomaisten välillä. Komissio hyödyntää tässä myös sille asetuksessa myönnettyjä uusia valtuuksia</w:t>
      </w:r>
      <w:r>
        <w:rPr>
          <w:rStyle w:val="FootnoteReference"/>
          <w:noProof/>
        </w:rPr>
        <w:footnoteReference w:id="68"/>
      </w:r>
      <w:r>
        <w:rPr>
          <w:noProof/>
        </w:rPr>
        <w:t>. Tämä toiminta voisi kattaa useita eri yhteistyömuotoja yhteisten tulkitsevi</w:t>
      </w:r>
      <w:r>
        <w:rPr>
          <w:noProof/>
        </w:rPr>
        <w:t>en tai käytännön välineiden</w:t>
      </w:r>
      <w:r>
        <w:rPr>
          <w:rStyle w:val="FootnoteReference"/>
          <w:noProof/>
        </w:rPr>
        <w:footnoteReference w:id="69"/>
      </w:r>
      <w:r>
        <w:rPr>
          <w:noProof/>
        </w:rPr>
        <w:t xml:space="preserve"> kehittämisestä meneillään olevia tutkintatoimia koskevaan tietojenvaihtoon.</w:t>
      </w:r>
    </w:p>
    <w:p w:rsidR="005B393D" w:rsidRDefault="000A69F4">
      <w:pPr>
        <w:rPr>
          <w:noProof/>
        </w:rPr>
      </w:pPr>
      <w:r>
        <w:rPr>
          <w:noProof/>
        </w:rPr>
        <w:t>Komissio aikoo myös tehostaa vuoropuheluaan alueellisten järjestöjen ja verkostojen, kuten Kaakkois-Aasian maiden liiton (ASEAN), Afrikan unionin, yksi</w:t>
      </w:r>
      <w:r>
        <w:rPr>
          <w:noProof/>
        </w:rPr>
        <w:t>tyisyyden suojaa käsittelevän Aasian ja Tyynenmeren foorumin (APPA) tai iberoamerikkalaisen tietosuojaverkoston (RIPD), kanssa. Niillä on yhä tärkeämpi tehtävä yhteisten tietosuojavaatimusten muotoilemisessa sekä parhaiden käytäntöjen vaihdon ja täytäntöön</w:t>
      </w:r>
      <w:r>
        <w:rPr>
          <w:noProof/>
        </w:rPr>
        <w:t>panon valvonnasta vastaavien tahojen välisen yhteistyön edistämisessä. Komissio tekee yhteistyötä myös Taloudellisen yhteistyön ja kehityksen järjestön (OECD) ja Aasian ja Tyynenmeren alueen taloudellisen yhteistyön foorumin (APEC) kanssa, jotta voidaan li</w:t>
      </w:r>
      <w:r>
        <w:rPr>
          <w:noProof/>
        </w:rPr>
        <w:t>sätä lähentymistä korkeatasoisen tietosuojan saavuttamiseksi.</w:t>
      </w:r>
    </w:p>
    <w:p w:rsidR="005B393D" w:rsidRDefault="000A69F4">
      <w:pPr>
        <w:pStyle w:val="Heading1"/>
        <w:numPr>
          <w:ilvl w:val="0"/>
          <w:numId w:val="71"/>
        </w:numPr>
        <w:rPr>
          <w:noProof/>
        </w:rPr>
      </w:pPr>
      <w:r>
        <w:rPr>
          <w:noProof/>
        </w:rPr>
        <w:t xml:space="preserve">Tietosuojalainsäädäntö keskeisenä osana eri alojen toimintapolitiikkoja </w:t>
      </w:r>
    </w:p>
    <w:p w:rsidR="005B393D" w:rsidRDefault="000A69F4">
      <w:pPr>
        <w:rPr>
          <w:noProof/>
        </w:rPr>
      </w:pPr>
      <w:r>
        <w:rPr>
          <w:noProof/>
        </w:rPr>
        <w:t xml:space="preserve">Henkilötietojen suoja taataan unionin toimintapolitiikoissa monilla eri aloilla, ja useissa tapauksissa se on yhdennetty </w:t>
      </w:r>
      <w:r>
        <w:rPr>
          <w:noProof/>
        </w:rPr>
        <w:t>osaksi niitä.</w:t>
      </w:r>
    </w:p>
    <w:p w:rsidR="005B393D" w:rsidRDefault="000A69F4">
      <w:pPr>
        <w:pStyle w:val="Heading3"/>
        <w:rPr>
          <w:noProof/>
        </w:rPr>
      </w:pPr>
      <w:r>
        <w:rPr>
          <w:noProof/>
        </w:rPr>
        <w:t>Televiestintäpalvelut ja sähköisen viestinnän palvelut</w:t>
      </w:r>
    </w:p>
    <w:p w:rsidR="005B393D" w:rsidRDefault="000A69F4">
      <w:pPr>
        <w:rPr>
          <w:noProof/>
        </w:rPr>
      </w:pPr>
      <w:r>
        <w:rPr>
          <w:noProof/>
        </w:rPr>
        <w:t>Komissio hyväksyi tammikuussa 2017 ehdotuksen asetukseksi yksityiselämän kunnioittamisesta ja henkilötietojen suojasta sähköisessä viestinnässä</w:t>
      </w:r>
      <w:r>
        <w:rPr>
          <w:rStyle w:val="FootnoteReference"/>
          <w:noProof/>
        </w:rPr>
        <w:footnoteReference w:id="70"/>
      </w:r>
      <w:r>
        <w:rPr>
          <w:noProof/>
        </w:rPr>
        <w:t>. Ehdotuksen tavoitteena on suojata viestin</w:t>
      </w:r>
      <w:r>
        <w:rPr>
          <w:noProof/>
        </w:rPr>
        <w:t xml:space="preserve">nän luottamuksellisuus, kuten perusoikeuskirjassa määrätään, mutta myös suojata henkilötietoja, jotka saattavat olla viestinnän osa, sekä loppukäyttäjien päätelaitteita. </w:t>
      </w:r>
    </w:p>
    <w:p w:rsidR="005B393D" w:rsidRDefault="000A69F4">
      <w:pPr>
        <w:rPr>
          <w:noProof/>
        </w:rPr>
      </w:pPr>
      <w:r>
        <w:rPr>
          <w:noProof/>
        </w:rPr>
        <w:t>Ehdotuksella sähköisen viestinnän tietosuoja-asetukseksi täsmennetään ja täydennetään</w:t>
      </w:r>
      <w:r>
        <w:rPr>
          <w:noProof/>
        </w:rPr>
        <w:t xml:space="preserve"> yleistä tietosuoja-asetusta vahvistamalla erityissäännöt edellä mainittuja tarkoituksia varten. Sillä saatetaan nykyiset EU:n sähköisen viestinnän tietosuojasäännöt</w:t>
      </w:r>
      <w:r>
        <w:rPr>
          <w:rStyle w:val="FootnoteReference"/>
          <w:noProof/>
        </w:rPr>
        <w:footnoteReference w:id="71"/>
      </w:r>
      <w:r>
        <w:rPr>
          <w:noProof/>
        </w:rPr>
        <w:t xml:space="preserve"> vastaamaan teknologian ja lainsäädännön kehitystä. Lisäksi ehdotus parantaa rekisteröityj</w:t>
      </w:r>
      <w:r>
        <w:rPr>
          <w:noProof/>
        </w:rPr>
        <w:t>en yksityisyyden suojaa laajentamalla uusien sääntöjen soveltamisalaa siten, että ne kattavat internetin kautta välitettävien viestintäpalvelujen (Over-the Top) tarjoajat. Näin luodaan tasapuoliset toimintaedellytykset kaikille sähköisille viestintäpalvelu</w:t>
      </w:r>
      <w:r>
        <w:rPr>
          <w:noProof/>
        </w:rPr>
        <w:t>ille. Euroopan parlamentti hyväksyi valtuudet käynnistää kolmikantaneuvottelut lokakuussa 2017, mutta neuvosto ei ole vielä hyväksynyt yleisnäkemystä. Komissio on edelleen kaikilta osin sitoutunut sähköisen viestinnän tietosuoja-asetukseen ja tukee lainsää</w:t>
      </w:r>
      <w:r>
        <w:rPr>
          <w:noProof/>
        </w:rPr>
        <w:t xml:space="preserve">täjien toimia, jotta asetusehdotus voitaisiin hyväksyä nopeasti. </w:t>
      </w:r>
    </w:p>
    <w:p w:rsidR="005B393D" w:rsidRDefault="000A69F4">
      <w:pPr>
        <w:pStyle w:val="Heading3"/>
        <w:rPr>
          <w:noProof/>
        </w:rPr>
      </w:pPr>
      <w:r>
        <w:rPr>
          <w:noProof/>
        </w:rPr>
        <w:t>Terveys ja tutkimus</w:t>
      </w:r>
    </w:p>
    <w:p w:rsidR="005B393D" w:rsidRDefault="000A69F4">
      <w:pPr>
        <w:rPr>
          <w:noProof/>
        </w:rPr>
      </w:pPr>
      <w:r>
        <w:rPr>
          <w:noProof/>
        </w:rPr>
        <w:t>Yleistä etua koskevista syistä on yhä tärkeämpää helpottaa asetuksessa arkaluontoisiksi määriteltyjen terveystietojen vaihtamista jäsenvaltioiden välillä</w:t>
      </w:r>
      <w:r>
        <w:rPr>
          <w:rFonts w:asciiTheme="minorHAnsi" w:hAnsiTheme="minorHAnsi"/>
          <w:noProof/>
          <w:szCs w:val="22"/>
        </w:rPr>
        <w:t xml:space="preserve"> </w:t>
      </w:r>
      <w:r>
        <w:rPr>
          <w:noProof/>
        </w:rPr>
        <w:t xml:space="preserve">kansanterveyden </w:t>
      </w:r>
      <w:r>
        <w:rPr>
          <w:noProof/>
        </w:rPr>
        <w:t>alalla. Tällaisia yleistä etua koskevia syitä ovat terveydenhuollon tai hoidon tarjoaminen, suojautuminen valtioiden rajat ylittäviltä vakavilta terveysuhkilta sekä terveydenhuollon ja lääkkeiden tai lääkinnällisten laitteiden korkeiden laatu- ja turvallis</w:t>
      </w:r>
      <w:r>
        <w:rPr>
          <w:noProof/>
        </w:rPr>
        <w:t>uusvaatimusten varmistaminen. Asetuksessa vahvistetaan säännöt, joilla varmistetaan terveystietojen laillinen ja luotettava käsittely ja vaihtaminen koko EU:ssa. Näitä sääntöjä sovelletaan myös kolmansien osapuolten pääsyyn potilaiden terveystietoihin, joi</w:t>
      </w:r>
      <w:r>
        <w:rPr>
          <w:noProof/>
        </w:rPr>
        <w:t>ta ovat muun muassa potilaskertomusten tiedot, sähköiset lääkemääräykset ja pitkällä tähtäimellä kattavat sähköiset terveydenhuollon rekisterit ja niiden käyttö tieteellisiä tutkimustarkoituksia varten. Lisäksi komissio on laatinut kliinisten tutkimusten o</w:t>
      </w:r>
      <w:r>
        <w:rPr>
          <w:noProof/>
        </w:rPr>
        <w:t>salta asiakirjan, jossa käsitellään kysymyksiä ja vastauksia kliinisiä lääketutkimuksia koskevan asetuksen</w:t>
      </w:r>
      <w:r>
        <w:rPr>
          <w:rStyle w:val="FootnoteReference"/>
          <w:noProof/>
        </w:rPr>
        <w:footnoteReference w:id="72"/>
      </w:r>
      <w:r>
        <w:rPr>
          <w:noProof/>
        </w:rPr>
        <w:t xml:space="preserve"> ja yleisen tietosuoja-asetuksen välisestä vuorovaikutuksesta</w:t>
      </w:r>
      <w:r>
        <w:rPr>
          <w:rStyle w:val="FootnoteReference"/>
          <w:noProof/>
        </w:rPr>
        <w:footnoteReference w:id="73"/>
      </w:r>
      <w:r>
        <w:rPr>
          <w:noProof/>
        </w:rPr>
        <w:t>.</w:t>
      </w:r>
    </w:p>
    <w:p w:rsidR="005B393D" w:rsidRDefault="000A69F4">
      <w:pPr>
        <w:pStyle w:val="Heading3"/>
        <w:rPr>
          <w:noProof/>
        </w:rPr>
      </w:pPr>
      <w:r>
        <w:rPr>
          <w:noProof/>
        </w:rPr>
        <w:t>Tekoäly</w:t>
      </w:r>
    </w:p>
    <w:p w:rsidR="005B393D" w:rsidRDefault="000A69F4">
      <w:pPr>
        <w:rPr>
          <w:noProof/>
        </w:rPr>
      </w:pPr>
      <w:r>
        <w:rPr>
          <w:noProof/>
        </w:rPr>
        <w:t>Tekoälyn strategisen merkityksen kasvaessa on tärkeää muotoilla maailmanlaaju</w:t>
      </w:r>
      <w:r>
        <w:rPr>
          <w:noProof/>
        </w:rPr>
        <w:t>iset säännöt sen kehittämistä ja käyttöä varten. Komissio on valinnut tekoälyn kehittämisen ja käyttöönoton edistämisessä ihmiskeskeisen lähestymistavan, mikä tarkoittaa, että tekoälysovellusten on oltava perusoikeuksien mukaisia</w:t>
      </w:r>
      <w:r>
        <w:rPr>
          <w:rStyle w:val="FootnoteReference"/>
          <w:noProof/>
        </w:rPr>
        <w:footnoteReference w:id="74"/>
      </w:r>
      <w:r>
        <w:rPr>
          <w:noProof/>
        </w:rPr>
        <w:t xml:space="preserve">. Asetuksessa vahvistetut </w:t>
      </w:r>
      <w:r>
        <w:rPr>
          <w:noProof/>
        </w:rPr>
        <w:t>säännöt muodostavat tässä yhteydessä yleisen toimintakehyksen ja sisältävät erityisiä velvollisuuksia ja oikeuksia, jotka ovat erityisen merkityksellisiä henkilötietojen käsittelyssä tekoälyn avulla. Asetuksessa vahvistetaan muun muassa oikeus olla joutuma</w:t>
      </w:r>
      <w:r>
        <w:rPr>
          <w:noProof/>
        </w:rPr>
        <w:t>tta sellaisen päätöksen kohteeksi, joka on tehty yksinomaan automaattisen tietojenkäsittelyn perusteella, tiettyjä tilanteita lukuun ottamatta</w:t>
      </w:r>
      <w:r>
        <w:rPr>
          <w:rStyle w:val="FootnoteReference"/>
          <w:noProof/>
        </w:rPr>
        <w:footnoteReference w:id="75"/>
      </w:r>
      <w:r>
        <w:rPr>
          <w:noProof/>
        </w:rPr>
        <w:t>. Asetuksessa vahvistetaan myös erityisiä automaattisen päätöksenteon käyttöä koskevia avoimuusvaatimuksia, kuten</w:t>
      </w:r>
      <w:r>
        <w:rPr>
          <w:noProof/>
        </w:rPr>
        <w:t xml:space="preserve"> velvollisuus ilmoittaa tällaisten päätösten olemassaolosta sekä velvollisuus toimittaa merkitykselliset tiedot ja selittää kyseisen käsittelyn merkitys ja mahdolliset seuraukset yksilön kannalta</w:t>
      </w:r>
      <w:r>
        <w:rPr>
          <w:rStyle w:val="FootnoteReference"/>
          <w:noProof/>
        </w:rPr>
        <w:footnoteReference w:id="76"/>
      </w:r>
      <w:r>
        <w:rPr>
          <w:noProof/>
        </w:rPr>
        <w:t>. Tekoälyä käsittelevä korkean tason asiantuntijaryhmä</w:t>
      </w:r>
      <w:r>
        <w:rPr>
          <w:rStyle w:val="FootnoteReference"/>
          <w:noProof/>
        </w:rPr>
        <w:footnoteReference w:id="77"/>
      </w:r>
      <w:r>
        <w:rPr>
          <w:noProof/>
        </w:rPr>
        <w:t>, OEC</w:t>
      </w:r>
      <w:r>
        <w:rPr>
          <w:noProof/>
        </w:rPr>
        <w:t>D</w:t>
      </w:r>
      <w:r>
        <w:rPr>
          <w:rStyle w:val="FootnoteReference"/>
          <w:noProof/>
        </w:rPr>
        <w:footnoteReference w:id="78"/>
      </w:r>
      <w:r>
        <w:rPr>
          <w:noProof/>
        </w:rPr>
        <w:t xml:space="preserve"> ja G20-maat</w:t>
      </w:r>
      <w:r>
        <w:rPr>
          <w:rStyle w:val="FootnoteReference"/>
          <w:noProof/>
        </w:rPr>
        <w:footnoteReference w:id="79"/>
      </w:r>
      <w:r>
        <w:rPr>
          <w:noProof/>
        </w:rPr>
        <w:t xml:space="preserve"> ovat todenneet, että nämä asetuksen keskeiset periaatteet ovat tekoälystä aiheutuvien haasteiden ja mahdollisuuksien käsittelyn kannalta erityisen merkityksellisiä. Euroopan tietosuojaneuvosto on määrittänyt tekoälyn yhdeksi vuosien 2019–20</w:t>
      </w:r>
      <w:r>
        <w:rPr>
          <w:noProof/>
        </w:rPr>
        <w:t>20 työohjelmansa mahdollisista aiheista</w:t>
      </w:r>
      <w:r>
        <w:rPr>
          <w:rStyle w:val="FootnoteReference"/>
          <w:noProof/>
        </w:rPr>
        <w:footnoteReference w:id="80"/>
      </w:r>
      <w:r>
        <w:rPr>
          <w:noProof/>
        </w:rPr>
        <w:t>.</w:t>
      </w:r>
    </w:p>
    <w:p w:rsidR="005B393D" w:rsidRDefault="000A69F4">
      <w:pPr>
        <w:pStyle w:val="Heading3"/>
        <w:rPr>
          <w:noProof/>
        </w:rPr>
      </w:pPr>
      <w:r>
        <w:rPr>
          <w:noProof/>
        </w:rPr>
        <w:t>Liikenne</w:t>
      </w:r>
    </w:p>
    <w:p w:rsidR="005B393D" w:rsidRDefault="000A69F4">
      <w:pPr>
        <w:rPr>
          <w:noProof/>
        </w:rPr>
      </w:pPr>
      <w:r>
        <w:rPr>
          <w:noProof/>
        </w:rPr>
        <w:t>Internetyhteydellä varustettujen autojen ja älykkäiden kaupunkien kehittäminen perustuu yhä enemmän suurien henkilötietomäärien käsittelyyn ja vaihtoon, johon osallistuvat useat osapuolet, kuten autot, aut</w:t>
      </w:r>
      <w:r>
        <w:rPr>
          <w:noProof/>
        </w:rPr>
        <w:t>onvalmistajat, telematiikan palveluntarjoajat ja tieinfrastruktuurista vastaavat viranomaiset. Henkilötietojen käsittelyyn osallistuvien eri toimijoiden tehtävien ja vastuualueiden jakautuminen ja sen varmistaminen, että kaikki toimijat noudattavat käsitte</w:t>
      </w:r>
      <w:r>
        <w:rPr>
          <w:noProof/>
        </w:rPr>
        <w:t>lytoimissaan lakia, on tässä monenvälisessä toimintaympäristössä monimutkaista. Asetuksen ja sähköisen viestinnän tietosuojalainsäädännön noudattaminen on tärkeää, jotta älykkäät liikennejärjestelmät voidaan ottaa menestyksekkäästi käyttöön kaikissa liiken</w:t>
      </w:r>
      <w:r>
        <w:rPr>
          <w:noProof/>
        </w:rPr>
        <w:t>nemuodoissa ja jotta voidaan lisätä yksilöiden ja tavaroiden liikkuvuutta edistävien</w:t>
      </w:r>
      <w:r>
        <w:rPr>
          <w:rStyle w:val="FootnoteReference"/>
          <w:noProof/>
        </w:rPr>
        <w:footnoteReference w:id="81"/>
      </w:r>
      <w:r>
        <w:rPr>
          <w:noProof/>
        </w:rPr>
        <w:t xml:space="preserve"> digitaalisten välineiden ja palvelujen käyttöä. </w:t>
      </w:r>
    </w:p>
    <w:p w:rsidR="005B393D" w:rsidRDefault="000A69F4">
      <w:pPr>
        <w:pStyle w:val="Heading3"/>
        <w:rPr>
          <w:noProof/>
        </w:rPr>
      </w:pPr>
      <w:r>
        <w:rPr>
          <w:noProof/>
        </w:rPr>
        <w:t>Energia</w:t>
      </w:r>
    </w:p>
    <w:p w:rsidR="005B393D" w:rsidRDefault="000A69F4">
      <w:pPr>
        <w:rPr>
          <w:noProof/>
        </w:rPr>
      </w:pPr>
      <w:r>
        <w:rPr>
          <w:noProof/>
        </w:rPr>
        <w:t>Myös energia-alan digitaalisten ratkaisujen kehittämisessä hyödynnetään yhä enemmän henkilötietojen käsittelyä. O</w:t>
      </w:r>
      <w:r>
        <w:rPr>
          <w:noProof/>
        </w:rPr>
        <w:t xml:space="preserve">sana ”Puhdasta energiaa kaikille eurooppalaisille” </w:t>
      </w:r>
      <w:r>
        <w:rPr>
          <w:noProof/>
        </w:rPr>
        <w:noBreakHyphen/>
        <w:t>pakettia</w:t>
      </w:r>
      <w:r>
        <w:rPr>
          <w:rStyle w:val="FootnoteReference"/>
          <w:noProof/>
        </w:rPr>
        <w:footnoteReference w:id="82"/>
      </w:r>
      <w:r>
        <w:rPr>
          <w:noProof/>
        </w:rPr>
        <w:t xml:space="preserve"> hyväksytty lainsäädäntö sisältää uusia säännöksiä, jotka mahdollistavat sähköalan digitalisaation, sekä tietoihin pääsyä, tiedonhallintaa ja yhteentoimivuutta koskevia sääntöjä, joiden avulla vo</w:t>
      </w:r>
      <w:r>
        <w:rPr>
          <w:noProof/>
        </w:rPr>
        <w:t>idaan käsitellä kuluttajien reaaliaikaisia tietoja säästöjen aikaansaamiseksi ja kannustaa omatuotantoon ja energiamarkkinoille osallistumiseen. Näin ollen tietosuojasääntöjen noudattaminen on erittäin tärkeää, jotta nämä säännökset voidaan panna täytäntöö</w:t>
      </w:r>
      <w:r>
        <w:rPr>
          <w:noProof/>
        </w:rPr>
        <w:t>n menestyksekkäästi.</w:t>
      </w:r>
    </w:p>
    <w:p w:rsidR="005B393D" w:rsidRDefault="000A69F4">
      <w:pPr>
        <w:pStyle w:val="Heading3"/>
        <w:rPr>
          <w:noProof/>
        </w:rPr>
      </w:pPr>
      <w:r>
        <w:rPr>
          <w:noProof/>
        </w:rPr>
        <w:t>Kilpailu</w:t>
      </w:r>
    </w:p>
    <w:p w:rsidR="005B393D" w:rsidRDefault="000A69F4">
      <w:pPr>
        <w:rPr>
          <w:noProof/>
        </w:rPr>
      </w:pPr>
      <w:r>
        <w:rPr>
          <w:noProof/>
        </w:rPr>
        <w:t>Henkilötietojen käsittely on yhä useammin otettava huomioon kilpailupolitiikassa</w:t>
      </w:r>
      <w:r>
        <w:rPr>
          <w:rStyle w:val="FootnoteReference"/>
          <w:noProof/>
        </w:rPr>
        <w:footnoteReference w:id="83"/>
      </w:r>
      <w:r>
        <w:rPr>
          <w:noProof/>
        </w:rPr>
        <w:t>. Koska tietosuojaviranomaiset ovat ainoita viranomaisia, jotka ovat vastuussa tietosuojasääntöjen rikkomisen arvioinnista, kilpailu-, kuluttaja-</w:t>
      </w:r>
      <w:r>
        <w:rPr>
          <w:noProof/>
        </w:rPr>
        <w:t xml:space="preserve"> ja tietosuojaviranomaiset tekevät myös jatkossa yhteistyötä tarvittaessa, kun niiden toimivaltuudet risteävät. Komissio edistää tällaista yhteistyötä ja seuraa kehitystä tiiviisti.</w:t>
      </w:r>
    </w:p>
    <w:p w:rsidR="005B393D" w:rsidRDefault="000A69F4">
      <w:pPr>
        <w:pStyle w:val="Heading3"/>
        <w:rPr>
          <w:noProof/>
        </w:rPr>
      </w:pPr>
      <w:r>
        <w:rPr>
          <w:noProof/>
        </w:rPr>
        <w:t>Vaalit</w:t>
      </w:r>
    </w:p>
    <w:p w:rsidR="005B393D" w:rsidRDefault="000A69F4">
      <w:pPr>
        <w:rPr>
          <w:noProof/>
        </w:rPr>
      </w:pPr>
      <w:r>
        <w:rPr>
          <w:noProof/>
        </w:rPr>
        <w:t>Syyskuussa 2018 osana vaalipakettia</w:t>
      </w:r>
      <w:r>
        <w:rPr>
          <w:rStyle w:val="FootnoteReference"/>
          <w:noProof/>
        </w:rPr>
        <w:footnoteReference w:id="84"/>
      </w:r>
      <w:r>
        <w:rPr>
          <w:noProof/>
        </w:rPr>
        <w:t xml:space="preserve"> julkaistuissa komission ohjeissa unionin tietosuojalainsäädännön soveltamisesta vaalien yhteydessä</w:t>
      </w:r>
      <w:r>
        <w:rPr>
          <w:rStyle w:val="FootnoteReference"/>
          <w:noProof/>
        </w:rPr>
        <w:footnoteReference w:id="85"/>
      </w:r>
      <w:r>
        <w:rPr>
          <w:noProof/>
        </w:rPr>
        <w:t xml:space="preserve"> kiinnitettiin huomiota sääntöihin, jotka ovat vaaleihin osallistuvien toimijoiden kannalta erityisen tärkeitä. Nämä säännöt koskevat muun muassa äänestäjil</w:t>
      </w:r>
      <w:r>
        <w:rPr>
          <w:noProof/>
        </w:rPr>
        <w:t>le suunnattuun henkilöön kohdistettuun viestintään (</w:t>
      </w:r>
      <w:r>
        <w:rPr>
          <w:i/>
          <w:iCs/>
          <w:noProof/>
        </w:rPr>
        <w:t>micro-targeting</w:t>
      </w:r>
      <w:r>
        <w:rPr>
          <w:noProof/>
        </w:rPr>
        <w:t>) liittyviä kysymyksiä. Myös Euroopan tietosuojaneuvosto käsitteli näitä ohjeita lausunnossaan</w:t>
      </w:r>
      <w:r>
        <w:rPr>
          <w:rStyle w:val="FootnoteReference"/>
          <w:noProof/>
        </w:rPr>
        <w:footnoteReference w:id="86"/>
      </w:r>
      <w:r>
        <w:rPr>
          <w:noProof/>
        </w:rPr>
        <w:t>. Lisäksi osa tietosuojaviranomaisista antoi kansallisen tason ohjeita. Vaalipaketissa kehotet</w:t>
      </w:r>
      <w:r>
        <w:rPr>
          <w:noProof/>
        </w:rPr>
        <w:t>tiin myös kutakin jäsenvaltiota perustamaan kansallinen vaaliverkosto, jossa ovat mukana vaaliasioista vastaavat kansalliset viranomaiset sekä vaaleihin liittyviä verkkotoimia koskevien sääntöjen, kuten tietosuojan, seurannasta ja täytäntöönpanosta vastaav</w:t>
      </w:r>
      <w:r>
        <w:rPr>
          <w:noProof/>
        </w:rPr>
        <w:t>at viranomaiset. Lisäksi hyväksyttiin uusia toimenpiteitä, joilla otettiin käyttöön tietosuojasääntöjen loukkaamista koskevia seuraamuksia EU:n tason poliittisille puolueille ja säätiöille. Komissio suositteli, että jäsenvaltiot noudattaisivat samaa lähest</w:t>
      </w:r>
      <w:r>
        <w:rPr>
          <w:noProof/>
        </w:rPr>
        <w:t>ymistapaa kansallisella tasolla. Vuoden 2019 Euroopan parlamentin vaalien arvioinnissa, joka on määrä julkaista lokakuussa 2019, otetaan huomioon myös tietosuojanäkökohdat.</w:t>
      </w:r>
    </w:p>
    <w:p w:rsidR="005B393D" w:rsidRDefault="000A69F4">
      <w:pPr>
        <w:pStyle w:val="Heading3"/>
        <w:rPr>
          <w:noProof/>
        </w:rPr>
      </w:pPr>
      <w:r>
        <w:rPr>
          <w:noProof/>
        </w:rPr>
        <w:t>Lainvalvonta</w:t>
      </w:r>
    </w:p>
    <w:p w:rsidR="005B393D" w:rsidRDefault="000A69F4">
      <w:pPr>
        <w:rPr>
          <w:noProof/>
        </w:rPr>
      </w:pPr>
      <w:r>
        <w:rPr>
          <w:noProof/>
        </w:rPr>
        <w:t>Toimivan ja todellisen turvallisuusunionin on perustuttava EU:n peruso</w:t>
      </w:r>
      <w:r>
        <w:rPr>
          <w:noProof/>
        </w:rPr>
        <w:t>ikeuskirjassa ja EU:n johdetussa oikeudessa vahvistettujen perusoikeuksien täysimääräiseen noudattamiseen, joka kattaa myös asianmukaiset tietosuojaan liittyvät suojatoimet. Näin henkilötietoja voidaan vaihtaa turvallisesti lainvalvontatarkoituksia varten.</w:t>
      </w:r>
      <w:r>
        <w:rPr>
          <w:noProof/>
        </w:rPr>
        <w:t xml:space="preserve"> Kaikkien yksityisyyttä ja tietosuojaa koskeviin perusoikeuksiin kohdistuvien rajoitusten on oltava ehdottoman välttämättömiä ja oikeasuhteisia.</w:t>
      </w:r>
    </w:p>
    <w:p w:rsidR="005B393D" w:rsidRDefault="000A69F4">
      <w:pPr>
        <w:pStyle w:val="Heading1"/>
        <w:numPr>
          <w:ilvl w:val="0"/>
          <w:numId w:val="71"/>
        </w:numPr>
        <w:rPr>
          <w:noProof/>
        </w:rPr>
      </w:pPr>
      <w:r>
        <w:rPr>
          <w:noProof/>
        </w:rPr>
        <w:t xml:space="preserve">Päätelmät </w:t>
      </w:r>
    </w:p>
    <w:p w:rsidR="005B393D" w:rsidRDefault="000A69F4">
      <w:pPr>
        <w:spacing w:after="120" w:line="288" w:lineRule="auto"/>
        <w:rPr>
          <w:noProof/>
        </w:rPr>
      </w:pPr>
      <w:r>
        <w:rPr>
          <w:noProof/>
        </w:rPr>
        <w:t>Tähän mennessä saatujen tietojen ja sidosryhmien kanssa käydyn vuoropuhelun perusteella komission al</w:t>
      </w:r>
      <w:r>
        <w:rPr>
          <w:noProof/>
        </w:rPr>
        <w:t>ustava arvio on, että asetuksen ensimmäinen soveltamisvuosi on ollut kokonaisuutena myönteinen. Lisätoimia kuitenkin tarvitaan useilla aloilla, kuten tästä tiedonannosta käy ilmi.</w:t>
      </w:r>
    </w:p>
    <w:p w:rsidR="005B393D" w:rsidRDefault="000A69F4">
      <w:pPr>
        <w:spacing w:before="240" w:after="240" w:line="288" w:lineRule="auto"/>
        <w:rPr>
          <w:i/>
          <w:iCs/>
          <w:noProof/>
        </w:rPr>
      </w:pPr>
      <w:r>
        <w:rPr>
          <w:i/>
          <w:iCs/>
          <w:noProof/>
        </w:rPr>
        <w:t>Oikeuskehyksen täytäntöönpano ja täydentäminen:</w:t>
      </w:r>
    </w:p>
    <w:p w:rsidR="005B393D" w:rsidRDefault="000A69F4">
      <w:pPr>
        <w:pStyle w:val="ListParagraph"/>
        <w:numPr>
          <w:ilvl w:val="0"/>
          <w:numId w:val="55"/>
        </w:numPr>
        <w:spacing w:before="240" w:after="240" w:line="288" w:lineRule="auto"/>
        <w:ind w:left="357" w:hanging="357"/>
        <w:contextualSpacing w:val="0"/>
        <w:rPr>
          <w:noProof/>
        </w:rPr>
      </w:pPr>
      <w:r>
        <w:rPr>
          <w:noProof/>
        </w:rPr>
        <w:t xml:space="preserve">Niiden kolmen jäsenvaltion, </w:t>
      </w:r>
      <w:r>
        <w:rPr>
          <w:noProof/>
        </w:rPr>
        <w:t>jotka eivät ole vielä päivittäneet kansallista tietosuojalainsäädäntöään, on tehtävä se kiireellisesti. Kaikkien jäsenvaltioiden olisi saatettava päätökseen alakohtaisen lainsäädännön mukauttaminen asetuksen vaatimuksiin.</w:t>
      </w:r>
    </w:p>
    <w:p w:rsidR="005B393D" w:rsidRDefault="000A69F4">
      <w:pPr>
        <w:pStyle w:val="ListParagraph"/>
        <w:numPr>
          <w:ilvl w:val="0"/>
          <w:numId w:val="55"/>
        </w:numPr>
        <w:spacing w:before="240" w:after="240" w:line="288" w:lineRule="auto"/>
        <w:ind w:left="357" w:hanging="357"/>
        <w:contextualSpacing w:val="0"/>
        <w:rPr>
          <w:noProof/>
        </w:rPr>
      </w:pPr>
      <w:r>
        <w:rPr>
          <w:noProof/>
        </w:rPr>
        <w:t>Komissio varmistaa, että jäsenvalt</w:t>
      </w:r>
      <w:r>
        <w:rPr>
          <w:noProof/>
        </w:rPr>
        <w:t>iot noudattavat asetusta ja vähentävät tietosuojakehyksen hajanaisuutta. Se käyttää tätä varten kaikkia käytössään olevia välineitä, myös rikkomusmenettelyjä.</w:t>
      </w:r>
    </w:p>
    <w:p w:rsidR="005B393D" w:rsidRDefault="000A69F4">
      <w:pPr>
        <w:spacing w:before="240" w:after="240" w:line="288" w:lineRule="auto"/>
        <w:rPr>
          <w:i/>
          <w:iCs/>
          <w:noProof/>
        </w:rPr>
      </w:pPr>
      <w:r>
        <w:rPr>
          <w:i/>
          <w:iCs/>
          <w:noProof/>
        </w:rPr>
        <w:t>Uuden hallintojärjestelmän koko potentiaalin käyttöönotto:</w:t>
      </w:r>
    </w:p>
    <w:p w:rsidR="005B393D" w:rsidRDefault="000A69F4">
      <w:pPr>
        <w:pStyle w:val="ListParagraph"/>
        <w:numPr>
          <w:ilvl w:val="0"/>
          <w:numId w:val="55"/>
        </w:numPr>
        <w:spacing w:before="240" w:after="240" w:line="288" w:lineRule="auto"/>
        <w:ind w:left="357" w:hanging="357"/>
        <w:contextualSpacing w:val="0"/>
        <w:rPr>
          <w:noProof/>
        </w:rPr>
      </w:pPr>
      <w:r>
        <w:rPr>
          <w:noProof/>
        </w:rPr>
        <w:t>Jäsenvaltioiden olisi osoitettava kans</w:t>
      </w:r>
      <w:r>
        <w:rPr>
          <w:noProof/>
        </w:rPr>
        <w:t>allisille tietosuojaviranomaisille tarvittavat taloudelliset, tekniset ja henkilöstöresurssit.</w:t>
      </w:r>
    </w:p>
    <w:p w:rsidR="005B393D" w:rsidRDefault="000A69F4">
      <w:pPr>
        <w:pStyle w:val="ListParagraph"/>
        <w:numPr>
          <w:ilvl w:val="0"/>
          <w:numId w:val="55"/>
        </w:numPr>
        <w:spacing w:before="240" w:after="240" w:line="288" w:lineRule="auto"/>
        <w:ind w:left="357" w:hanging="357"/>
        <w:contextualSpacing w:val="0"/>
        <w:rPr>
          <w:noProof/>
        </w:rPr>
      </w:pPr>
      <w:r>
        <w:rPr>
          <w:noProof/>
        </w:rPr>
        <w:t>Tietosuojaviranomaisten olisi tehostettava yhteistyötään esimerkiksi toteuttamalla yhteisiä tutkintatoimia. Jäsenvaltioiden olisi helpotettava tällaisten tutkint</w:t>
      </w:r>
      <w:r>
        <w:rPr>
          <w:noProof/>
        </w:rPr>
        <w:t>atoimien toteuttamista.</w:t>
      </w:r>
    </w:p>
    <w:p w:rsidR="005B393D" w:rsidRDefault="000A69F4">
      <w:pPr>
        <w:pStyle w:val="ListParagraph"/>
        <w:numPr>
          <w:ilvl w:val="0"/>
          <w:numId w:val="55"/>
        </w:numPr>
        <w:spacing w:before="240" w:after="240" w:line="288" w:lineRule="auto"/>
        <w:ind w:left="357" w:hanging="357"/>
        <w:contextualSpacing w:val="0"/>
        <w:rPr>
          <w:noProof/>
        </w:rPr>
      </w:pPr>
      <w:r>
        <w:rPr>
          <w:noProof/>
        </w:rPr>
        <w:t>Tietosuojaneuvoston olisi jatkettava EU:n yhteisen tietosuojakulttuurin kehittämistä ja hyödynnettävä kattavasti asetuksessa säädettyjä välineitä, jotta varmistetaan, että sääntöjä sovelletaan yhdenmukaisesti. Sen olisi jatkettava o</w:t>
      </w:r>
      <w:r>
        <w:rPr>
          <w:noProof/>
        </w:rPr>
        <w:t>hjeiden antamista erityisesti pienille ja keskisuurille yrityksille.</w:t>
      </w:r>
    </w:p>
    <w:p w:rsidR="005B393D" w:rsidRDefault="000A69F4">
      <w:pPr>
        <w:pStyle w:val="ListParagraph"/>
        <w:numPr>
          <w:ilvl w:val="0"/>
          <w:numId w:val="55"/>
        </w:numPr>
        <w:spacing w:before="240" w:after="240" w:line="288" w:lineRule="auto"/>
        <w:ind w:left="357" w:hanging="357"/>
        <w:contextualSpacing w:val="0"/>
        <w:rPr>
          <w:noProof/>
        </w:rPr>
      </w:pPr>
      <w:r>
        <w:rPr>
          <w:noProof/>
        </w:rPr>
        <w:t xml:space="preserve">Tietosuojaneuvoston sihteeristön asiantuntemusta olisi vahvistettava, jotta se voi tukea ja johtaa tietosuojaneuvoston työtä entistä tehokkaammin. </w:t>
      </w:r>
    </w:p>
    <w:p w:rsidR="005B393D" w:rsidRDefault="000A69F4">
      <w:pPr>
        <w:pStyle w:val="ListParagraph"/>
        <w:numPr>
          <w:ilvl w:val="0"/>
          <w:numId w:val="55"/>
        </w:numPr>
        <w:spacing w:before="240" w:after="240" w:line="288" w:lineRule="auto"/>
        <w:ind w:left="357" w:hanging="357"/>
        <w:contextualSpacing w:val="0"/>
        <w:rPr>
          <w:noProof/>
        </w:rPr>
      </w:pPr>
      <w:r>
        <w:rPr>
          <w:noProof/>
        </w:rPr>
        <w:t>Komissio tukee jatkossakin tietosuojavi</w:t>
      </w:r>
      <w:r>
        <w:rPr>
          <w:noProof/>
        </w:rPr>
        <w:t>ranomaisia ja tietosuojaneuvostoa erityisesti osallistumalla aktiivisesti tietosuojaneuvoston toimintaan ja kiinnittämällä sen huomiota EU:n oikeuden mukaisiin vaatimuksiin asetuksen täytäntöönpanon yhteydessä.</w:t>
      </w:r>
    </w:p>
    <w:p w:rsidR="005B393D" w:rsidRDefault="000A69F4">
      <w:pPr>
        <w:pStyle w:val="ListParagraph"/>
        <w:numPr>
          <w:ilvl w:val="0"/>
          <w:numId w:val="55"/>
        </w:numPr>
        <w:spacing w:after="120" w:line="288" w:lineRule="auto"/>
        <w:ind w:left="357" w:hanging="357"/>
        <w:contextualSpacing w:val="0"/>
        <w:rPr>
          <w:noProof/>
        </w:rPr>
      </w:pPr>
      <w:r>
        <w:rPr>
          <w:noProof/>
        </w:rPr>
        <w:t>Komissio tukee tietosuojaviranomaisten ja eri</w:t>
      </w:r>
      <w:r>
        <w:rPr>
          <w:noProof/>
        </w:rPr>
        <w:t>tyisesti kilpailun alalla toimivien muiden viranomaisten välistä vuorovaikutusta kunnioittaen niiden toimivaltuuksia kaikilta osin.</w:t>
      </w:r>
    </w:p>
    <w:p w:rsidR="005B393D" w:rsidRDefault="000A69F4">
      <w:pPr>
        <w:spacing w:before="240" w:after="240" w:line="288" w:lineRule="auto"/>
        <w:rPr>
          <w:i/>
          <w:iCs/>
          <w:noProof/>
        </w:rPr>
      </w:pPr>
      <w:r>
        <w:rPr>
          <w:i/>
          <w:iCs/>
          <w:noProof/>
        </w:rPr>
        <w:t>Sidosryhmien tukeminen ja osallistaminen:</w:t>
      </w:r>
    </w:p>
    <w:p w:rsidR="005B393D" w:rsidRDefault="000A69F4">
      <w:pPr>
        <w:pStyle w:val="ListParagraph"/>
        <w:numPr>
          <w:ilvl w:val="0"/>
          <w:numId w:val="55"/>
        </w:numPr>
        <w:spacing w:after="120" w:line="288" w:lineRule="auto"/>
        <w:contextualSpacing w:val="0"/>
        <w:rPr>
          <w:noProof/>
        </w:rPr>
      </w:pPr>
      <w:r>
        <w:rPr>
          <w:noProof/>
        </w:rPr>
        <w:t>Tietosuojaneuvoston olisi parannettava tapaa, jolla se ottaa sidosryhmät mukaan ty</w:t>
      </w:r>
      <w:r>
        <w:rPr>
          <w:noProof/>
        </w:rPr>
        <w:t>öhönsä. Komissio myöntää myös jatkossa taloudellista tukea tietosuojaviranomaisille, jotta ne voivat tavoittaa sidosryhmät.</w:t>
      </w:r>
    </w:p>
    <w:p w:rsidR="005B393D" w:rsidRDefault="000A69F4">
      <w:pPr>
        <w:pStyle w:val="ListParagraph"/>
        <w:numPr>
          <w:ilvl w:val="0"/>
          <w:numId w:val="55"/>
        </w:numPr>
        <w:spacing w:before="240" w:after="240" w:line="288" w:lineRule="auto"/>
        <w:ind w:left="357" w:hanging="357"/>
        <w:contextualSpacing w:val="0"/>
        <w:rPr>
          <w:noProof/>
        </w:rPr>
      </w:pPr>
      <w:r>
        <w:rPr>
          <w:noProof/>
        </w:rPr>
        <w:t xml:space="preserve">Komissio jatkaa tiedotustoimiaan ja työtään sidosryhmien kanssa. </w:t>
      </w:r>
    </w:p>
    <w:p w:rsidR="005B393D" w:rsidRDefault="000A69F4">
      <w:pPr>
        <w:jc w:val="left"/>
        <w:rPr>
          <w:i/>
          <w:iCs/>
          <w:noProof/>
        </w:rPr>
      </w:pPr>
      <w:r>
        <w:rPr>
          <w:i/>
          <w:iCs/>
          <w:noProof/>
        </w:rPr>
        <w:t>Kansainvälisen lähentymisen edistäminen:</w:t>
      </w:r>
    </w:p>
    <w:p w:rsidR="005B393D" w:rsidRDefault="000A69F4">
      <w:pPr>
        <w:pStyle w:val="ListParagraph"/>
        <w:numPr>
          <w:ilvl w:val="0"/>
          <w:numId w:val="55"/>
        </w:numPr>
        <w:spacing w:after="120" w:line="288" w:lineRule="auto"/>
        <w:ind w:left="357" w:hanging="357"/>
        <w:contextualSpacing w:val="0"/>
        <w:rPr>
          <w:noProof/>
        </w:rPr>
      </w:pPr>
      <w:r>
        <w:rPr>
          <w:noProof/>
        </w:rPr>
        <w:t>Komissio tehostaa entises</w:t>
      </w:r>
      <w:r>
        <w:rPr>
          <w:noProof/>
        </w:rPr>
        <w:t>tään vuoropuhelua tietosuojan riittävyydestä vaatimukset täyttävien keskeisten kumppanien kanssa myös lainvalvonnan alalla. Komissio pyrkii erityisesti saattamaan päätökseen Etelä-Korean kanssa käynnissä olevat neuvottelut tulevien kuukausien aikana. Komis</w:t>
      </w:r>
      <w:r>
        <w:rPr>
          <w:noProof/>
        </w:rPr>
        <w:t>sio raportoi vuonna 2020 yhdentoista tietosuojadirektiivin perusteella hyväksytyn, tietosuojan riittävyyttä koskevan päätöksen uudelleentarkastelusta.</w:t>
      </w:r>
    </w:p>
    <w:p w:rsidR="005B393D" w:rsidRDefault="000A69F4">
      <w:pPr>
        <w:pStyle w:val="ListParagraph"/>
        <w:numPr>
          <w:ilvl w:val="0"/>
          <w:numId w:val="55"/>
        </w:numPr>
        <w:spacing w:after="120" w:line="288" w:lineRule="auto"/>
        <w:contextualSpacing w:val="0"/>
        <w:rPr>
          <w:noProof/>
        </w:rPr>
      </w:pPr>
      <w:r>
        <w:rPr>
          <w:noProof/>
        </w:rPr>
        <w:t>Komissio jatkaa työtään sellaisten maiden kanssa, jotka ovat kiinnostuneita hyväksymään uudenaikaista yks</w:t>
      </w:r>
      <w:r>
        <w:rPr>
          <w:noProof/>
        </w:rPr>
        <w:t xml:space="preserve">ityisyydensuojaa koskevaa lainsäädäntöä, muun muassa antamalla teknistä tukea ja vaihtamalla tietoa ja parhaita käytäntöjä, sekä edistää yhteistyötä kolmansien maiden valvontaviranomaisten ja alueellisten järjestöjen kanssa. </w:t>
      </w:r>
    </w:p>
    <w:p w:rsidR="005B393D" w:rsidRDefault="000A69F4">
      <w:pPr>
        <w:pStyle w:val="ListParagraph"/>
        <w:numPr>
          <w:ilvl w:val="0"/>
          <w:numId w:val="55"/>
        </w:numPr>
        <w:spacing w:after="120" w:line="288" w:lineRule="auto"/>
        <w:ind w:left="357" w:hanging="357"/>
        <w:contextualSpacing w:val="0"/>
        <w:rPr>
          <w:noProof/>
        </w:rPr>
      </w:pPr>
      <w:r>
        <w:rPr>
          <w:noProof/>
        </w:rPr>
        <w:t>Komissio toimii yhdessä monenv</w:t>
      </w:r>
      <w:r>
        <w:rPr>
          <w:noProof/>
        </w:rPr>
        <w:t xml:space="preserve">älisten ja alueellisten järjestöjen kanssa edistääkseen tiukkojen tietosuojavaatimusten käyttöä kaupan edistäjänä ja yhteistyötä helpottavana tekijänä (esim. Japanin G20-huippukokouksen yhteydessä käynnistämän ”Data Free Flow with Trust” </w:t>
      </w:r>
      <w:r>
        <w:rPr>
          <w:noProof/>
        </w:rPr>
        <w:noBreakHyphen/>
        <w:t>aloitteen puittei</w:t>
      </w:r>
      <w:r>
        <w:rPr>
          <w:noProof/>
        </w:rPr>
        <w:t>ssa).</w:t>
      </w:r>
    </w:p>
    <w:p w:rsidR="005B393D" w:rsidRDefault="000A69F4">
      <w:pPr>
        <w:rPr>
          <w:noProof/>
        </w:rPr>
      </w:pPr>
      <w:r>
        <w:rPr>
          <w:noProof/>
        </w:rPr>
        <w:t>Asetuksessa</w:t>
      </w:r>
      <w:r>
        <w:rPr>
          <w:rStyle w:val="FootnoteReference"/>
          <w:noProof/>
        </w:rPr>
        <w:footnoteReference w:id="87"/>
      </w:r>
      <w:r>
        <w:rPr>
          <w:noProof/>
        </w:rPr>
        <w:t xml:space="preserve"> edellytetään, että komissio antaa kertomuksen sen täytäntöönpanosta vuonna 2020. Kertomuksessa on tilaisuus arvioida saavutettua edistystä ja sitä, ovatko uuden tietosuojajärjestelmän eri osat kaikilta osin toiminnassa kahden soveltamisv</w:t>
      </w:r>
      <w:r>
        <w:rPr>
          <w:noProof/>
        </w:rPr>
        <w:t>uoden jälkeen. Komissio jatkaa tätä varten yhteydenpitoa Euroopan parlamentin, neuvoston, jäsenvaltioiden, Euroopan tietosuojaneuvoston, asiaankuuluvien sidosryhmien ja kansalaisten kanssa.</w:t>
      </w:r>
    </w:p>
    <w:sectPr w:rsidR="005B393D">
      <w:headerReference w:type="even" r:id="rId15"/>
      <w:headerReference w:type="default" r:id="rId16"/>
      <w:footerReference w:type="even" r:id="rId17"/>
      <w:footerReference w:type="default" r:id="rId18"/>
      <w:headerReference w:type="first" r:id="rId19"/>
      <w:footerReference w:type="first" r:id="rId20"/>
      <w:pgSz w:w="11907" w:h="16839" w:code="9"/>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93D" w:rsidRDefault="000A69F4">
      <w:r>
        <w:separator/>
      </w:r>
    </w:p>
  </w:endnote>
  <w:endnote w:type="continuationSeparator" w:id="0">
    <w:p w:rsidR="005B393D" w:rsidRDefault="000A69F4">
      <w:r>
        <w:continuationSeparator/>
      </w:r>
    </w:p>
  </w:endnote>
  <w:endnote w:type="continuationNotice" w:id="1">
    <w:p w:rsidR="005B393D" w:rsidRDefault="005B39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93D" w:rsidRDefault="005B39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93D" w:rsidRDefault="000A69F4">
    <w:pPr>
      <w:pStyle w:val="FooterCoverPage"/>
      <w:rPr>
        <w:rFonts w:ascii="Arial" w:hAnsi="Arial" w:cs="Arial"/>
        <w:b/>
        <w:sz w:val="48"/>
      </w:rPr>
    </w:pPr>
    <w:r>
      <w:rPr>
        <w:rFonts w:ascii="Arial" w:hAnsi="Arial" w:cs="Arial"/>
        <w:b/>
        <w:sz w:val="48"/>
      </w:rPr>
      <w:t>FI</w:t>
    </w:r>
    <w:r>
      <w:rPr>
        <w:rFonts w:ascii="Arial" w:hAnsi="Arial" w:cs="Arial"/>
        <w:b/>
        <w:sz w:val="48"/>
      </w:rPr>
      <w:tab/>
    </w:r>
    <w:r>
      <w:rPr>
        <w:rFonts w:ascii="Arial" w:hAnsi="Arial" w:cs="Arial"/>
        <w:b/>
        <w:sz w:val="48"/>
      </w:rPr>
      <w:tab/>
    </w:r>
    <w:r>
      <w:tab/>
    </w:r>
    <w:r>
      <w:rPr>
        <w:rFonts w:ascii="Arial" w:hAnsi="Arial" w:cs="Arial"/>
        <w:b/>
        <w:sz w:val="48"/>
      </w:rPr>
      <w:t>FI</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93D" w:rsidRDefault="005B393D">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93D" w:rsidRDefault="000A69F4">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5B393D" w:rsidRDefault="005B393D">
    <w:pPr>
      <w:pStyle w:val="Footer"/>
    </w:pPr>
  </w:p>
  <w:p w:rsidR="005B393D" w:rsidRDefault="005B393D"/>
  <w:p w:rsidR="005B393D" w:rsidRDefault="005B393D"/>
  <w:p w:rsidR="005B393D" w:rsidRDefault="005B393D"/>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93D" w:rsidRDefault="000A69F4">
    <w:pPr>
      <w:pStyle w:val="Footer"/>
      <w:jc w:val="center"/>
      <w:rPr>
        <w:sz w:val="20"/>
        <w:szCs w:val="20"/>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Pr>
        <w:rStyle w:val="PageNumber"/>
        <w:noProof/>
        <w:sz w:val="20"/>
        <w:szCs w:val="20"/>
      </w:rPr>
      <w:t>15</w:t>
    </w:r>
    <w:r>
      <w:rPr>
        <w:rStyle w:val="PageNumber"/>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93D" w:rsidRDefault="005B39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93D" w:rsidRDefault="000A69F4">
      <w:r>
        <w:separator/>
      </w:r>
    </w:p>
  </w:footnote>
  <w:footnote w:type="continuationSeparator" w:id="0">
    <w:p w:rsidR="005B393D" w:rsidRDefault="000A69F4">
      <w:r>
        <w:continuationSeparator/>
      </w:r>
    </w:p>
  </w:footnote>
  <w:footnote w:type="continuationNotice" w:id="1">
    <w:p w:rsidR="005B393D" w:rsidRDefault="005B393D">
      <w:pPr>
        <w:spacing w:after="0" w:line="240" w:lineRule="auto"/>
      </w:pPr>
    </w:p>
  </w:footnote>
  <w:footnote w:id="2">
    <w:p w:rsidR="005B393D" w:rsidRDefault="000A69F4">
      <w:pPr>
        <w:pStyle w:val="FootnoteText"/>
      </w:pPr>
      <w:r>
        <w:rPr>
          <w:rStyle w:val="FootnoteReference"/>
        </w:rPr>
        <w:footnoteRef/>
      </w:r>
      <w:r>
        <w:t xml:space="preserve"> Euroopan parlamentin ja neuvoston asetus (EU) 2016/679, annettu 27 päivänä huhtikuuta 2016, luonnollisten henkilöiden suojelusta henkilötietojen käsittelyssä sekä näiden tietojen vapaasta liikkuvuudesta ja direktiivin 95/46/EY kumoamisesta (yleinen tietos</w:t>
      </w:r>
      <w:r>
        <w:t xml:space="preserve">uoja-asetus) (EUVL L 119, 4.5.2016, s. 1): </w:t>
      </w:r>
      <w:hyperlink r:id="rId1" w:history="1">
        <w:r>
          <w:rPr>
            <w:rStyle w:val="Hyperlink"/>
          </w:rPr>
          <w:t>https://eur-lex.europa.eu/legal-content/EN/TXT/?uri=CELEX%3A32016R0679</w:t>
        </w:r>
      </w:hyperlink>
      <w:r>
        <w:t>.</w:t>
      </w:r>
    </w:p>
  </w:footnote>
  <w:footnote w:id="3">
    <w:p w:rsidR="005B393D" w:rsidRDefault="000A69F4">
      <w:pPr>
        <w:pStyle w:val="FootnoteText"/>
      </w:pPr>
      <w:r>
        <w:rPr>
          <w:rStyle w:val="FootnoteReference"/>
        </w:rPr>
        <w:footnoteRef/>
      </w:r>
      <w:r>
        <w:t xml:space="preserve"> Euroopan parlamentin ja neuvoston direktiivi (EU) 2016</w:t>
      </w:r>
      <w:r>
        <w:t>/680, annettu 27 päivänä huhtikuuta 2016, luonnollisten henkilöiden suojelusta toimivaltaisten viranomaisten suorittamassa henkilötietojen käsittelyssä rikosten ennalta estämistä, tutkimista, paljastamista tai rikoksiin liittyviä syytetoimia tai rikosoikeu</w:t>
      </w:r>
      <w:r>
        <w:t xml:space="preserve">dellisten seuraamusten täytäntöönpanoa varten sekä näiden tietojen vapaasta liikkuvuudesta ja neuvoston puitepäätöksen 2008/977/YOS kumoamisesta (EUVL L 119, 4.5.2016, s. 89): </w:t>
      </w:r>
    </w:p>
    <w:p w:rsidR="005B393D" w:rsidRDefault="000A69F4">
      <w:pPr>
        <w:pStyle w:val="FootnoteText"/>
        <w:jc w:val="left"/>
      </w:pPr>
      <w:r>
        <w:tab/>
      </w:r>
      <w:hyperlink r:id="rId2" w:history="1">
        <w:r>
          <w:rPr>
            <w:rStyle w:val="Hyperlink"/>
          </w:rPr>
          <w:t>https://eur-lex.europa.eu/legal-content/FI/ALL/?uri=celex:32016L0680</w:t>
        </w:r>
      </w:hyperlink>
      <w:r>
        <w:t>. Jäsenvaltioiden oli määrä saattaa direktiivi osaksi kansallista lainsäädäntöään viimeistään 6. toukokuuta 2018. Turvallisuusunionia koskevissa kertomuksissa on tietoa siitä, miten</w:t>
      </w:r>
      <w:r>
        <w:t xml:space="preserve"> sen saattaminen osaksi kansallista lainsäädäntöä on edennyt.</w:t>
      </w:r>
    </w:p>
  </w:footnote>
  <w:footnote w:id="4">
    <w:p w:rsidR="005B393D" w:rsidRDefault="000A69F4">
      <w:pPr>
        <w:pStyle w:val="FootnoteText"/>
      </w:pPr>
      <w:r>
        <w:rPr>
          <w:rStyle w:val="FootnoteReference"/>
        </w:rPr>
        <w:footnoteRef/>
      </w:r>
      <w:r>
        <w:t xml:space="preserve"> Euroopan parlamentin ja neuvoston asetus (EU) 2018/1725, annettu 23 päivänä lokakuuta 2018, luonnollisten henkilöiden suojelusta unionin toimielinten, elinten ja laitosten suorittamassa henkil</w:t>
      </w:r>
      <w:r>
        <w:t xml:space="preserve">ötietojen käsittelyssä ja näiden tietojen vapaasta liikkuvuudesta sekä asetuksen (EY) N:o 45/2001 ja päätöksen N:o 1247/2002/EY kumoamisesta (EUVL L 295, 21.11.2018, s. 39–98): </w:t>
      </w:r>
      <w:hyperlink r:id="rId3" w:history="1">
        <w:r>
          <w:rPr>
            <w:rStyle w:val="Hyperlink"/>
          </w:rPr>
          <w:t>https://eur-lex.europa.eu/legal-content/EN/TXT/?uri=CELEX%3A32018R1725</w:t>
        </w:r>
      </w:hyperlink>
      <w:r>
        <w:t>. Asetusta on sovellettu 11. joulukuuta 2018 lähtien.</w:t>
      </w:r>
    </w:p>
  </w:footnote>
  <w:footnote w:id="5">
    <w:p w:rsidR="005B393D" w:rsidRDefault="000A69F4">
      <w:pPr>
        <w:pStyle w:val="FootnoteText"/>
      </w:pPr>
      <w:r>
        <w:rPr>
          <w:rStyle w:val="FootnoteReference"/>
        </w:rPr>
        <w:footnoteRef/>
      </w:r>
      <w:r>
        <w:t xml:space="preserve"> Intian korkein oikeus tunnusti 24. elokuuta 2017 antamassaan merkittävässä tuomiossa, että yksityisyys on perusoikeus ja ”ke</w:t>
      </w:r>
      <w:r>
        <w:t>skeinen osa ihmisen ihmisarvoa”.</w:t>
      </w:r>
    </w:p>
  </w:footnote>
  <w:footnote w:id="6">
    <w:p w:rsidR="005B393D" w:rsidRDefault="000A69F4">
      <w:pPr>
        <w:pStyle w:val="FootnoteText"/>
        <w:tabs>
          <w:tab w:val="clear" w:pos="360"/>
          <w:tab w:val="left" w:pos="426"/>
        </w:tabs>
      </w:pPr>
      <w:r>
        <w:rPr>
          <w:rStyle w:val="FootnoteReference"/>
        </w:rPr>
        <w:footnoteRef/>
      </w:r>
      <w:r>
        <w:t xml:space="preserve"> Komission tiedonanto Euroopan parlamentille ja neuvostolle ”Vahvempi suoja, uudet mahdollisuudet – komission ohjeet yleisen tietosuoja-asetuksen suorasta soveltamisesta 25. toukokuuta 2018 lähtien”, COM(2018) 43 final:</w:t>
      </w:r>
    </w:p>
    <w:p w:rsidR="005B393D" w:rsidRDefault="000A69F4">
      <w:pPr>
        <w:pStyle w:val="FootnoteText"/>
        <w:tabs>
          <w:tab w:val="clear" w:pos="360"/>
          <w:tab w:val="left" w:pos="426"/>
        </w:tabs>
      </w:pPr>
      <w:r>
        <w:t xml:space="preserve"> </w:t>
      </w:r>
      <w:r>
        <w:tab/>
      </w:r>
      <w:hyperlink r:id="rId4" w:history="1">
        <w:r>
          <w:rPr>
            <w:rStyle w:val="Hyperlink"/>
          </w:rPr>
          <w:t>https://eur-lex.europa.eu/legal-content/EN/TXT/?qid=1517578296944&amp;uri=CELEX%3A52018DC0043</w:t>
        </w:r>
      </w:hyperlink>
      <w:r>
        <w:rPr>
          <w:rStyle w:val="Hyperlink"/>
        </w:rPr>
        <w:t>.</w:t>
      </w:r>
    </w:p>
  </w:footnote>
  <w:footnote w:id="7">
    <w:p w:rsidR="005B393D" w:rsidRDefault="000A69F4">
      <w:pPr>
        <w:pStyle w:val="FootnoteText"/>
        <w:tabs>
          <w:tab w:val="clear" w:pos="360"/>
          <w:tab w:val="left" w:pos="426"/>
        </w:tabs>
      </w:pPr>
      <w:r>
        <w:rPr>
          <w:rStyle w:val="FootnoteReference"/>
        </w:rPr>
        <w:footnoteRef/>
      </w:r>
      <w:r>
        <w:t xml:space="preserve"> Komissio on perustanut asetusta käsittelevän, eri sidosryhm</w:t>
      </w:r>
      <w:r>
        <w:t>istä koostuvan ryhmän, johon kuuluu kansalaisyhteiskunnan ja yritysten edustajia, tutkijoita ja käytännön toimijoita.</w:t>
      </w:r>
    </w:p>
    <w:p w:rsidR="005B393D" w:rsidRDefault="000A69F4">
      <w:pPr>
        <w:pStyle w:val="FootnoteText"/>
        <w:tabs>
          <w:tab w:val="clear" w:pos="360"/>
          <w:tab w:val="left" w:pos="426"/>
        </w:tabs>
      </w:pPr>
      <w:r>
        <w:tab/>
      </w:r>
      <w:hyperlink r:id="rId5" w:history="1">
        <w:r>
          <w:rPr>
            <w:rStyle w:val="Hyperlink"/>
          </w:rPr>
          <w:t>http://ec.europa.eu/</w:t>
        </w:r>
        <w:r>
          <w:rPr>
            <w:rStyle w:val="Hyperlink"/>
          </w:rPr>
          <w:t>transparency/regexpert/index.cfm?do=groupDetail.groupDetail&amp;groupID=3537</w:t>
        </w:r>
      </w:hyperlink>
      <w:r>
        <w:rPr>
          <w:rStyle w:val="Hyperlink"/>
        </w:rPr>
        <w:t>.</w:t>
      </w:r>
      <w:r>
        <w:t xml:space="preserve"> </w:t>
      </w:r>
    </w:p>
  </w:footnote>
  <w:footnote w:id="8">
    <w:p w:rsidR="005B393D" w:rsidRDefault="000A69F4">
      <w:pPr>
        <w:pStyle w:val="FootnoteText"/>
        <w:tabs>
          <w:tab w:val="clear" w:pos="360"/>
          <w:tab w:val="left" w:pos="426"/>
        </w:tabs>
        <w:rPr>
          <w:rStyle w:val="FootnoteReference"/>
        </w:rPr>
      </w:pPr>
      <w:r>
        <w:rPr>
          <w:rStyle w:val="FootnoteReference"/>
        </w:rPr>
        <w:footnoteRef/>
      </w:r>
      <w:r>
        <w:rPr>
          <w:rStyle w:val="FootnoteReference"/>
        </w:rPr>
        <w:t xml:space="preserve"> </w:t>
      </w:r>
      <w:r>
        <w:rPr>
          <w:rStyle w:val="FootnoteReference"/>
        </w:rPr>
        <w:tab/>
      </w:r>
      <w:hyperlink r:id="rId6" w:history="1">
        <w:r>
          <w:rPr>
            <w:rStyle w:val="Hyperlink"/>
          </w:rPr>
          <w:t>http://europa.eu/rapid/press-release_IP-19-2956_en.htm</w:t>
        </w:r>
      </w:hyperlink>
      <w:r>
        <w:rPr>
          <w:rStyle w:val="Hyperlink"/>
        </w:rPr>
        <w:t>.</w:t>
      </w:r>
    </w:p>
  </w:footnote>
  <w:footnote w:id="9">
    <w:p w:rsidR="005B393D" w:rsidRDefault="000A69F4">
      <w:pPr>
        <w:pStyle w:val="FootnoteText"/>
        <w:tabs>
          <w:tab w:val="clear" w:pos="360"/>
          <w:tab w:val="left" w:pos="426"/>
        </w:tabs>
      </w:pPr>
      <w:r>
        <w:rPr>
          <w:rStyle w:val="FootnoteReference"/>
        </w:rPr>
        <w:footnoteRef/>
      </w:r>
      <w:r>
        <w:t xml:space="preserve"> Asetuksen 97 artikla.</w:t>
      </w:r>
    </w:p>
  </w:footnote>
  <w:footnote w:id="10">
    <w:p w:rsidR="005B393D" w:rsidRDefault="000A69F4">
      <w:pPr>
        <w:pStyle w:val="FootnoteText"/>
      </w:pPr>
      <w:r>
        <w:rPr>
          <w:rStyle w:val="FootnoteReference"/>
        </w:rPr>
        <w:footnoteRef/>
      </w:r>
      <w:r>
        <w:t xml:space="preserve"> ”Komission ohjeet unionin</w:t>
      </w:r>
      <w:r>
        <w:t xml:space="preserve"> tietosuojalainsäädännön soveltamisesta vaalien yhteydessä”, COM(2018) 638 final: </w:t>
      </w:r>
      <w:hyperlink r:id="rId7" w:history="1">
        <w:r>
          <w:rPr>
            <w:rStyle w:val="Hyperlink"/>
          </w:rPr>
          <w:t>https://ec.europa.eu/commission/sites/beta-political/files/soteu2018-data-protection</w:t>
        </w:r>
        <w:r>
          <w:rPr>
            <w:rStyle w:val="Hyperlink"/>
          </w:rPr>
          <w:t>-law-electoral-guidance-638_en.pdf</w:t>
        </w:r>
      </w:hyperlink>
      <w:r>
        <w:t>.</w:t>
      </w:r>
    </w:p>
  </w:footnote>
  <w:footnote w:id="11">
    <w:p w:rsidR="005B393D" w:rsidRDefault="000A69F4">
      <w:pPr>
        <w:pStyle w:val="FootnoteText"/>
      </w:pPr>
      <w:r>
        <w:rPr>
          <w:rStyle w:val="FootnoteReference"/>
        </w:rPr>
        <w:footnoteRef/>
      </w:r>
      <w:r>
        <w:t xml:space="preserve"> Euroopan parlamentin ja neuvoston direktiivi 95/46/EY, annettu 24 päivänä lokakuuta 1995, yksilöiden suojelusta henkilötietojen käsittelyssä ja näiden tietojen vapaasta liikkuvuudesta:</w:t>
      </w:r>
    </w:p>
    <w:p w:rsidR="005B393D" w:rsidRDefault="000A69F4">
      <w:pPr>
        <w:pStyle w:val="FootnoteText"/>
      </w:pPr>
      <w:r>
        <w:tab/>
      </w:r>
      <w:hyperlink r:id="rId8" w:history="1">
        <w:r>
          <w:rPr>
            <w:rStyle w:val="Hyperlink"/>
          </w:rPr>
          <w:t>https://eur-lex.europa.eu/legal-content/EN/TXT/?uri=celex:31995L0046</w:t>
        </w:r>
      </w:hyperlink>
      <w:r>
        <w:rPr>
          <w:rStyle w:val="Hyperlink"/>
        </w:rPr>
        <w:t>.</w:t>
      </w:r>
      <w:r>
        <w:t xml:space="preserve"> </w:t>
      </w:r>
    </w:p>
  </w:footnote>
  <w:footnote w:id="12">
    <w:p w:rsidR="005B393D" w:rsidRDefault="000A69F4">
      <w:pPr>
        <w:pStyle w:val="FootnoteText"/>
      </w:pPr>
      <w:r>
        <w:rPr>
          <w:rStyle w:val="FootnoteReference"/>
        </w:rPr>
        <w:footnoteRef/>
      </w:r>
      <w:r>
        <w:t xml:space="preserve"> Esimerkiksi valtuudet määrätä hallinnollisia sakkoja.</w:t>
      </w:r>
    </w:p>
  </w:footnote>
  <w:footnote w:id="13">
    <w:p w:rsidR="005B393D" w:rsidRDefault="000A69F4">
      <w:pPr>
        <w:pStyle w:val="FootnoteText"/>
      </w:pPr>
      <w:r>
        <w:rPr>
          <w:rStyle w:val="FootnoteReference"/>
        </w:rPr>
        <w:footnoteRef/>
      </w:r>
      <w:r>
        <w:rPr>
          <w:rStyle w:val="FootnoteReference"/>
        </w:rPr>
        <w:t xml:space="preserve"> </w:t>
      </w:r>
      <w:r>
        <w:tab/>
        <w:t xml:space="preserve">Kansallisen lain hyväksyminen oli yhä </w:t>
      </w:r>
      <w:r>
        <w:t>kesken 23. heinäkuuta 2019 Kreikassa, Portugalissa ja Sloveniassa.</w:t>
      </w:r>
    </w:p>
  </w:footnote>
  <w:footnote w:id="14">
    <w:p w:rsidR="005B393D" w:rsidRDefault="000A69F4">
      <w:pPr>
        <w:pStyle w:val="FootnoteText"/>
      </w:pPr>
      <w:r>
        <w:rPr>
          <w:rStyle w:val="FootnoteReference"/>
        </w:rPr>
        <w:footnoteRef/>
      </w:r>
      <w:r>
        <w:t xml:space="preserve"> Ks. asetusta käsittelevän eri sidosryhmistä koostuvan ryhmän 13. kesäkuuta 2019 antama raportti: </w:t>
      </w:r>
      <w:hyperlink r:id="rId9" w:history="1">
        <w:r>
          <w:rPr>
            <w:rStyle w:val="Hyperlink"/>
          </w:rPr>
          <w:t>http://ec.europa.eu/transparency/regexpert/index.cfm?do=groupDetail.groupMeeting&amp;meetingId=15670</w:t>
        </w:r>
      </w:hyperlink>
      <w:r>
        <w:rPr>
          <w:rStyle w:val="Hyperlink"/>
        </w:rPr>
        <w:t>.</w:t>
      </w:r>
      <w:r>
        <w:t xml:space="preserve"> </w:t>
      </w:r>
    </w:p>
  </w:footnote>
  <w:footnote w:id="15">
    <w:p w:rsidR="005B393D" w:rsidRDefault="000A69F4">
      <w:pPr>
        <w:pStyle w:val="FootnoteText"/>
      </w:pPr>
      <w:r>
        <w:rPr>
          <w:rStyle w:val="FootnoteReference"/>
        </w:rPr>
        <w:footnoteRef/>
      </w:r>
      <w:r>
        <w:t xml:space="preserve"> 13 vuotta Belgiassa, Latviassa, Maltassa, Ruotsissa, Suomessa, Tanskassa, Virossa ja Yhdistyneessä kuningaskunnassa; 14 vuotta Bulga</w:t>
      </w:r>
      <w:r>
        <w:t>riassa, Espanjassa, Italiassa, Itävallassa, Kyproksessa ja Liettuassa; 15 vuotta Ranskassa ja Tšekissä; 16 vuotta Alankomaissa, Irlannissa, Kroatiassa, Luxemburgissa, Puolassa, Romaniassa, Saksassa, Slovakiassa ja Unkarissa.</w:t>
      </w:r>
    </w:p>
  </w:footnote>
  <w:footnote w:id="16">
    <w:p w:rsidR="005B393D" w:rsidRDefault="000A69F4">
      <w:pPr>
        <w:pStyle w:val="FootnoteText"/>
      </w:pPr>
      <w:r>
        <w:rPr>
          <w:rStyle w:val="FootnoteReference"/>
        </w:rPr>
        <w:footnoteRef/>
      </w:r>
      <w:r>
        <w:t xml:space="preserve"> 8 artikla.</w:t>
      </w:r>
    </w:p>
  </w:footnote>
  <w:footnote w:id="17">
    <w:p w:rsidR="005B393D" w:rsidRDefault="000A69F4">
      <w:pPr>
        <w:pStyle w:val="FootnoteText"/>
      </w:pPr>
      <w:r>
        <w:rPr>
          <w:rStyle w:val="FootnoteReference"/>
        </w:rPr>
        <w:footnoteRef/>
      </w:r>
      <w:r>
        <w:t xml:space="preserve"> Euroopan unionin</w:t>
      </w:r>
      <w:r>
        <w:t xml:space="preserve"> toiminnasta tehdyn sopimuksen 16 artiklan 2 kohdan mukaisesti.</w:t>
      </w:r>
    </w:p>
  </w:footnote>
  <w:footnote w:id="18">
    <w:p w:rsidR="005B393D" w:rsidRDefault="000A69F4">
      <w:pPr>
        <w:pStyle w:val="FootnoteText"/>
      </w:pPr>
      <w:r>
        <w:rPr>
          <w:rStyle w:val="FootnoteReference"/>
        </w:rPr>
        <w:footnoteRef/>
      </w:r>
      <w:r>
        <w:t xml:space="preserve"> Asetuksen 60 artiklassa säädetään tietosuojaviranomaisten välisestä yhteistyöstä, jotta asetusta tulkitaan yhtenäisesti konkreettisissa tapauksissa. Asetuksen 64 artiklassa säädetään, että t</w:t>
      </w:r>
      <w:r>
        <w:t>ietosuojaneuvosto antaa tietyissä tapauksissa lausuntoja, jotta varmistetaan asetuksen yhtenäinen soveltaminen. Tietosuojaneuvostolle annetaan myös valta antaa sitovia päätöksiä, jotka on osoitettu tietosuojaviranomaisille, jos niiden välillä on erimielisy</w:t>
      </w:r>
      <w:r>
        <w:t>yksiä.</w:t>
      </w:r>
    </w:p>
  </w:footnote>
  <w:footnote w:id="19">
    <w:p w:rsidR="005B393D" w:rsidRDefault="000A69F4">
      <w:pPr>
        <w:pStyle w:val="FootnoteText"/>
      </w:pPr>
      <w:r>
        <w:rPr>
          <w:rStyle w:val="FootnoteReference"/>
        </w:rPr>
        <w:footnoteRef/>
      </w:r>
      <w:r>
        <w:t xml:space="preserve"> Näin on tapahtunut Saksassa ja Espanjassa.</w:t>
      </w:r>
    </w:p>
  </w:footnote>
  <w:footnote w:id="20">
    <w:p w:rsidR="005B393D" w:rsidRDefault="000A69F4">
      <w:pPr>
        <w:pStyle w:val="FootnoteText"/>
      </w:pPr>
      <w:r>
        <w:rPr>
          <w:rStyle w:val="FootnoteReference"/>
        </w:rPr>
        <w:footnoteRef/>
      </w:r>
      <w:r>
        <w:t xml:space="preserve"> </w:t>
      </w:r>
      <w:r>
        <w:tab/>
      </w:r>
      <w:hyperlink r:id="rId10" w:history="1">
        <w:r>
          <w:rPr>
            <w:rStyle w:val="Hyperlink"/>
          </w:rPr>
          <w:t>https://edpb.europa.eu/sites/edpb/files/files/file1/19_2019_edpb_written_report_to_libe_en</w:t>
        </w:r>
        <w:r>
          <w:rPr>
            <w:rStyle w:val="Hyperlink"/>
          </w:rPr>
          <w:t>.pdf</w:t>
        </w:r>
      </w:hyperlink>
      <w:r>
        <w:t xml:space="preserve"> </w:t>
      </w:r>
    </w:p>
  </w:footnote>
  <w:footnote w:id="21">
    <w:p w:rsidR="005B393D" w:rsidRDefault="000A69F4">
      <w:pPr>
        <w:pStyle w:val="FootnoteText"/>
        <w:rPr>
          <w:rStyle w:val="FootnoteReference"/>
          <w:color w:val="000000" w:themeColor="text1"/>
          <w:vertAlign w:val="baseline"/>
        </w:rPr>
      </w:pPr>
      <w:r>
        <w:rPr>
          <w:rStyle w:val="FootnoteReference"/>
        </w:rPr>
        <w:footnoteRef/>
      </w:r>
      <w:r>
        <w:rPr>
          <w:rStyle w:val="FootnoteReference"/>
        </w:rPr>
        <w:t xml:space="preserve"> </w:t>
      </w:r>
      <w:r>
        <w:rPr>
          <w:rStyle w:val="FootnoteReference"/>
        </w:rPr>
        <w:tab/>
      </w:r>
      <w:r>
        <w:rPr>
          <w:rStyle w:val="FootnoteReference"/>
          <w:vertAlign w:val="baseline"/>
        </w:rPr>
        <w:t>Esimerkiksi Irlannin tietosuojalautakunta on aloittanut 15 virallista tutkintaa, jotka koskevat asetuksen noudattamista monikansallisissa teknologiayrityksissä. Ks. Irlannin tietosuojalautakunnan vuosikertomus 2018, s. 49:</w:t>
      </w:r>
    </w:p>
    <w:p w:rsidR="005B393D" w:rsidRDefault="000A69F4">
      <w:pPr>
        <w:pStyle w:val="FootnoteText"/>
      </w:pPr>
      <w:r>
        <w:tab/>
      </w:r>
      <w:hyperlink r:id="rId11" w:history="1">
        <w:r>
          <w:rPr>
            <w:rStyle w:val="Hyperlink"/>
          </w:rPr>
          <w:t>https://www.dataprotection.ie/en/news-media/press-releases/dpc-publishes-annual-report-25-may-31-december-2018</w:t>
        </w:r>
      </w:hyperlink>
      <w:r>
        <w:rPr>
          <w:rStyle w:val="FootnoteReference"/>
          <w:vertAlign w:val="baseline"/>
        </w:rPr>
        <w:t>.</w:t>
      </w:r>
    </w:p>
  </w:footnote>
  <w:footnote w:id="22">
    <w:p w:rsidR="005B393D" w:rsidRDefault="000A69F4">
      <w:pPr>
        <w:pStyle w:val="FootnoteText"/>
      </w:pPr>
      <w:r>
        <w:rPr>
          <w:rStyle w:val="FootnoteReference"/>
        </w:rPr>
        <w:footnoteRef/>
      </w:r>
      <w:r>
        <w:t xml:space="preserve"> Muutoksenhakuvaihe on vielä kesken use</w:t>
      </w:r>
      <w:r>
        <w:t>iden sakkojen määräämistä koskevien päätösten osalta.</w:t>
      </w:r>
    </w:p>
  </w:footnote>
  <w:footnote w:id="23">
    <w:p w:rsidR="005B393D" w:rsidRDefault="000A69F4">
      <w:pPr>
        <w:pStyle w:val="FootnoteText"/>
      </w:pPr>
      <w:r>
        <w:rPr>
          <w:rStyle w:val="FootnoteReference"/>
        </w:rPr>
        <w:footnoteRef/>
      </w:r>
      <w:r>
        <w:t xml:space="preserve"> 58 artiklan 2 kohdan f ja j alakohta.</w:t>
      </w:r>
    </w:p>
  </w:footnote>
  <w:footnote w:id="24">
    <w:p w:rsidR="005B393D" w:rsidRDefault="000A69F4">
      <w:pPr>
        <w:pStyle w:val="FootnoteText"/>
      </w:pPr>
      <w:r>
        <w:rPr>
          <w:rStyle w:val="FootnoteReference"/>
        </w:rPr>
        <w:footnoteRef/>
      </w:r>
      <w:r>
        <w:t xml:space="preserve"> </w:t>
      </w:r>
      <w:r>
        <w:tab/>
      </w:r>
      <w:hyperlink r:id="rId12" w:history="1">
        <w:r>
          <w:rPr>
            <w:rStyle w:val="Hyperlink"/>
          </w:rPr>
          <w:t>https://ico.org.uk</w:t>
        </w:r>
        <w:r>
          <w:rPr>
            <w:rStyle w:val="Hyperlink"/>
          </w:rPr>
          <w:t>/about-the-ico/news-and-events/news-and-blogs/2018/09/ico-call-for-views-on-creating-a-regulatory-sandbox/</w:t>
        </w:r>
      </w:hyperlink>
      <w:r>
        <w:t xml:space="preserve"> </w:t>
      </w:r>
    </w:p>
  </w:footnote>
  <w:footnote w:id="25">
    <w:p w:rsidR="005B393D" w:rsidRDefault="000A69F4">
      <w:pPr>
        <w:pStyle w:val="FootnoteText"/>
        <w:jc w:val="left"/>
      </w:pPr>
      <w:r>
        <w:rPr>
          <w:rStyle w:val="FootnoteReference"/>
        </w:rPr>
        <w:footnoteRef/>
      </w:r>
      <w:r>
        <w:t xml:space="preserve"> Ks. yleistä tietosuoja-asetusta käsittelevän, eri sidosryhmistä koostuvan ryhmän raportti: </w:t>
      </w:r>
      <w:hyperlink r:id="rId13" w:history="1">
        <w:r>
          <w:rPr>
            <w:rStyle w:val="Hyperlink"/>
          </w:rPr>
          <w:t>http://ec.europa.eu/transparency/regexpert/index.cfm?do=groupDetail.groupMeeting&amp;meetingId=15670</w:t>
        </w:r>
      </w:hyperlink>
      <w:r>
        <w:t xml:space="preserve"> </w:t>
      </w:r>
    </w:p>
  </w:footnote>
  <w:footnote w:id="26">
    <w:p w:rsidR="005B393D" w:rsidRDefault="000A69F4">
      <w:pPr>
        <w:pStyle w:val="FootnoteText"/>
        <w:jc w:val="left"/>
      </w:pPr>
      <w:r>
        <w:rPr>
          <w:rStyle w:val="FootnoteReference"/>
        </w:rPr>
        <w:footnoteRef/>
      </w:r>
      <w:r>
        <w:t xml:space="preserve"> Vuonna 2018 myönnettiin yhdeksälle tietosuojaviranomaiselle 2 miljoonaa euroa vuosien 2018–2019 to</w:t>
      </w:r>
      <w:r>
        <w:t xml:space="preserve">imintaa varten: Alankomaat, Belgia, Bulgaria, Islanti, Latvia, Liettua, Slovenia, Tanska ja Unkari: </w:t>
      </w:r>
      <w:hyperlink r:id="rId14" w:history="1">
        <w:r>
          <w:rPr>
            <w:rStyle w:val="Hyperlink"/>
          </w:rPr>
          <w:t>https://ec.europa.eu</w:t>
        </w:r>
        <w:r>
          <w:rPr>
            <w:rStyle w:val="Hyperlink"/>
          </w:rPr>
          <w:t>/info/funding-tenders/opportunities/portal/screen/opportunities/topic-details/rec-rdat-trai-ag-2017</w:t>
        </w:r>
      </w:hyperlink>
      <w:r>
        <w:rPr>
          <w:rStyle w:val="Hyperlink"/>
        </w:rPr>
        <w:t>;</w:t>
      </w:r>
      <w:r>
        <w:t xml:space="preserve"> </w:t>
      </w:r>
      <w:r>
        <w:rPr>
          <w:highlight w:val="yellow"/>
        </w:rPr>
        <w:br/>
      </w:r>
      <w:r>
        <w:t>vuonna 2019 on tarkoitus myöntää miljoona euroa:</w:t>
      </w:r>
      <w:r>
        <w:br/>
      </w:r>
      <w:hyperlink r:id="rId15" w:history="1">
        <w:r>
          <w:rPr>
            <w:rStyle w:val="Hyperlink"/>
          </w:rPr>
          <w:t>https://ec.europa.eu/info/funding-tenders/opportunities/portal/screen/opportunities/topic-details/rec-rdat-trai-ag-2019</w:t>
        </w:r>
      </w:hyperlink>
      <w:r>
        <w:rPr>
          <w:rStyle w:val="Hyperlink"/>
        </w:rPr>
        <w:t>.</w:t>
      </w:r>
      <w:r>
        <w:t xml:space="preserve"> </w:t>
      </w:r>
    </w:p>
  </w:footnote>
  <w:footnote w:id="27">
    <w:p w:rsidR="005B393D" w:rsidRDefault="000A69F4">
      <w:pPr>
        <w:pStyle w:val="FootnoteText"/>
      </w:pPr>
      <w:r>
        <w:rPr>
          <w:rStyle w:val="FootnoteReference"/>
        </w:rPr>
        <w:footnoteRef/>
      </w:r>
      <w:r>
        <w:t xml:space="preserve"> Tietosuojaneuvostolla on oikeushenkilöllisyys. Tietosuojaneuvoston muodostavat kansallisten tietosuoj</w:t>
      </w:r>
      <w:r>
        <w:t>avalvontaviranomaisten päälliköt ja Euroopan tietosuojavaltuutettu.</w:t>
      </w:r>
    </w:p>
  </w:footnote>
  <w:footnote w:id="28">
    <w:p w:rsidR="005B393D" w:rsidRDefault="000A69F4">
      <w:pPr>
        <w:pStyle w:val="FootnoteText"/>
        <w:jc w:val="left"/>
      </w:pPr>
      <w:r>
        <w:rPr>
          <w:rStyle w:val="FootnoteReference"/>
        </w:rPr>
        <w:footnoteRef/>
      </w:r>
      <w:r>
        <w:t xml:space="preserve"> </w:t>
      </w:r>
      <w:hyperlink r:id="rId16" w:history="1">
        <w:r>
          <w:rPr>
            <w:rStyle w:val="Hyperlink"/>
          </w:rPr>
          <w:t>https://edpb.europa.eu/our-work-tools/general-guidance/gdpr-guidelines-recommendations-best-practices_fi</w:t>
        </w:r>
      </w:hyperlink>
      <w:r>
        <w:t xml:space="preserve"> </w:t>
      </w:r>
    </w:p>
  </w:footnote>
  <w:footnote w:id="29">
    <w:p w:rsidR="005B393D" w:rsidRDefault="000A69F4">
      <w:pPr>
        <w:pStyle w:val="FootnoteText"/>
        <w:jc w:val="left"/>
      </w:pPr>
      <w:r>
        <w:rPr>
          <w:rStyle w:val="FootnoteReference"/>
        </w:rPr>
        <w:footnoteRef/>
      </w:r>
      <w:r>
        <w:t xml:space="preserve"> </w:t>
      </w:r>
      <w:hyperlink r:id="rId17" w:history="1">
        <w:r>
          <w:rPr>
            <w:rStyle w:val="Hyperlink"/>
          </w:rPr>
          <w:t>https://edpb.europa.eu/our-work-tools/our-docum</w:t>
        </w:r>
        <w:r>
          <w:rPr>
            <w:rStyle w:val="Hyperlink"/>
          </w:rPr>
          <w:t>ents/publication-type/work-program_fi</w:t>
        </w:r>
      </w:hyperlink>
      <w:r>
        <w:t xml:space="preserve"> </w:t>
      </w:r>
    </w:p>
  </w:footnote>
  <w:footnote w:id="30">
    <w:p w:rsidR="005B393D" w:rsidRDefault="000A69F4">
      <w:pPr>
        <w:pStyle w:val="FootnoteText"/>
      </w:pPr>
      <w:r>
        <w:rPr>
          <w:rStyle w:val="FootnoteReference"/>
        </w:rPr>
        <w:footnoteRef/>
      </w:r>
      <w:r>
        <w:t xml:space="preserve"> Komissiolla ei ole äänioikeutta.</w:t>
      </w:r>
    </w:p>
  </w:footnote>
  <w:footnote w:id="31">
    <w:p w:rsidR="005B393D" w:rsidRDefault="000A69F4">
      <w:pPr>
        <w:pStyle w:val="FootnoteText"/>
      </w:pPr>
      <w:r>
        <w:rPr>
          <w:rStyle w:val="FootnoteReference"/>
        </w:rPr>
        <w:footnoteRef/>
      </w:r>
      <w:r>
        <w:t xml:space="preserve"> Komissio on myös edistänyt tietosuojaneuvoston perustamista, ja se tukee tietosuojaneuvoston toimintaa vastaamalla sen viestintäjärjestelmästä.</w:t>
      </w:r>
    </w:p>
  </w:footnote>
  <w:footnote w:id="32">
    <w:p w:rsidR="005B393D" w:rsidRDefault="000A69F4">
      <w:pPr>
        <w:pStyle w:val="FootnoteText"/>
        <w:jc w:val="left"/>
      </w:pPr>
      <w:r>
        <w:rPr>
          <w:rStyle w:val="FootnoteReference"/>
        </w:rPr>
        <w:footnoteRef/>
      </w:r>
      <w:r>
        <w:t xml:space="preserve"> Asetuksen 62 artikla.</w:t>
      </w:r>
    </w:p>
  </w:footnote>
  <w:footnote w:id="33">
    <w:p w:rsidR="005B393D" w:rsidRDefault="000A69F4">
      <w:pPr>
        <w:pStyle w:val="FootnoteText"/>
        <w:jc w:val="left"/>
      </w:pPr>
      <w:r>
        <w:rPr>
          <w:rStyle w:val="FootnoteReference"/>
        </w:rPr>
        <w:footnoteRef/>
      </w:r>
      <w:r>
        <w:t xml:space="preserve"> Ks. asetus</w:t>
      </w:r>
      <w:r>
        <w:t xml:space="preserve">ta käsittelevän eri sidosryhmistä koostuvan ryhmän raportti: </w:t>
      </w:r>
      <w:hyperlink r:id="rId18" w:history="1">
        <w:r>
          <w:rPr>
            <w:rStyle w:val="Hyperlink"/>
          </w:rPr>
          <w:t>http://ec.europa.eu/transparency/regexpert/index.cfm?do=groupDetail.groupMeeting&amp;m</w:t>
        </w:r>
        <w:r>
          <w:rPr>
            <w:rStyle w:val="Hyperlink"/>
          </w:rPr>
          <w:t>eetingId=15670</w:t>
        </w:r>
      </w:hyperlink>
      <w:r>
        <w:rPr>
          <w:rStyle w:val="Hyperlink"/>
        </w:rPr>
        <w:t>.</w:t>
      </w:r>
    </w:p>
    <w:p w:rsidR="005B393D" w:rsidRDefault="000A69F4">
      <w:pPr>
        <w:pStyle w:val="FootnoteText"/>
      </w:pPr>
      <w:r>
        <w:tab/>
        <w:t>Yritykset ovat esimerkiksi sitä mieltä, että kansalliset luettelot niistä käsittelytoimien tyypeistä, joiden yhteydessä vaaditaan asetuksen 35 artiklan nojalla tietosuojaa koskeva vaikutustenarviointi, olisi voitu yhdenmukaistaa paremmin.</w:t>
      </w:r>
    </w:p>
  </w:footnote>
  <w:footnote w:id="34">
    <w:p w:rsidR="005B393D" w:rsidRDefault="000A69F4">
      <w:pPr>
        <w:pStyle w:val="FootnoteText"/>
      </w:pPr>
      <w:r>
        <w:rPr>
          <w:rStyle w:val="FootnoteReference"/>
        </w:rPr>
        <w:footnoteRef/>
      </w:r>
      <w:r>
        <w:t xml:space="preserve"> Myös liittovaltioiden eri viranomaisten välillä.</w:t>
      </w:r>
    </w:p>
  </w:footnote>
  <w:footnote w:id="35">
    <w:p w:rsidR="005B393D" w:rsidRDefault="000A69F4">
      <w:pPr>
        <w:pStyle w:val="FootnoteText"/>
        <w:jc w:val="left"/>
      </w:pPr>
      <w:r>
        <w:rPr>
          <w:rStyle w:val="FootnoteReference"/>
        </w:rPr>
        <w:footnoteRef/>
      </w:r>
      <w:r>
        <w:t xml:space="preserve"> </w:t>
      </w:r>
      <w:hyperlink r:id="rId19" w:history="1">
        <w:r>
          <w:rPr>
            <w:rStyle w:val="Hyperlink"/>
          </w:rPr>
          <w:t>http://europa.eu/rapid/press-release_IP-19-2956_fi.htm</w:t>
        </w:r>
      </w:hyperlink>
      <w:r>
        <w:t xml:space="preserve"> </w:t>
      </w:r>
    </w:p>
  </w:footnote>
  <w:footnote w:id="36">
    <w:p w:rsidR="005B393D" w:rsidRDefault="000A69F4">
      <w:pPr>
        <w:pStyle w:val="FootnoteText"/>
        <w:jc w:val="left"/>
      </w:pPr>
      <w:r>
        <w:rPr>
          <w:rStyle w:val="FootnoteReference"/>
        </w:rPr>
        <w:footnoteRef/>
      </w:r>
      <w:r>
        <w:t xml:space="preserve"> </w:t>
      </w:r>
      <w:r>
        <w:tab/>
      </w:r>
      <w:hyperlink r:id="rId20" w:history="1">
        <w:r>
          <w:rPr>
            <w:rStyle w:val="Hyperlink"/>
          </w:rPr>
          <w:t>https://ec.europa.eu/commission/sites/beta-political/files/infographic-gdpr_in_numbers_1.pdf</w:t>
        </w:r>
      </w:hyperlink>
      <w:r>
        <w:t xml:space="preserve"> </w:t>
      </w:r>
    </w:p>
  </w:footnote>
  <w:footnote w:id="37">
    <w:p w:rsidR="005B393D" w:rsidRDefault="000A69F4">
      <w:pPr>
        <w:pStyle w:val="FootnoteText"/>
      </w:pPr>
      <w:r>
        <w:rPr>
          <w:rStyle w:val="FootnoteReference"/>
        </w:rPr>
        <w:footnoteRef/>
      </w:r>
      <w:r>
        <w:t xml:space="preserve"> Ks. yleistä tietosuoja-asetusta käsittelevän eri sido</w:t>
      </w:r>
      <w:r>
        <w:t>sryhmistä koostuvan ryhmän raportti.</w:t>
      </w:r>
    </w:p>
  </w:footnote>
  <w:footnote w:id="38">
    <w:p w:rsidR="005B393D" w:rsidRDefault="000A69F4">
      <w:pPr>
        <w:pStyle w:val="FootnoteText"/>
      </w:pPr>
      <w:r>
        <w:rPr>
          <w:rStyle w:val="FootnoteReference"/>
        </w:rPr>
        <w:footnoteRef/>
      </w:r>
      <w:r>
        <w:t xml:space="preserve"> Ks. yleistä tietosuoja-asetusta käsittelevän eri sidosryhmistä koostuvan ryhmän raportti.</w:t>
      </w:r>
    </w:p>
  </w:footnote>
  <w:footnote w:id="39">
    <w:p w:rsidR="005B393D" w:rsidRDefault="000A69F4">
      <w:pPr>
        <w:pStyle w:val="FootnoteText"/>
      </w:pPr>
      <w:r>
        <w:rPr>
          <w:rStyle w:val="FootnoteReference"/>
        </w:rPr>
        <w:footnoteRef/>
      </w:r>
      <w:r>
        <w:t xml:space="preserve"> Asetuksen 80 artiklan 1 kohta.</w:t>
      </w:r>
    </w:p>
  </w:footnote>
  <w:footnote w:id="40">
    <w:p w:rsidR="005B393D" w:rsidRDefault="000A69F4">
      <w:pPr>
        <w:pStyle w:val="FootnoteText"/>
      </w:pPr>
      <w:r>
        <w:rPr>
          <w:rStyle w:val="FootnoteReference"/>
        </w:rPr>
        <w:footnoteRef/>
      </w:r>
      <w:r>
        <w:t xml:space="preserve"> Asetuksen 80 artiklan 2 kohta.</w:t>
      </w:r>
    </w:p>
  </w:footnote>
  <w:footnote w:id="41">
    <w:p w:rsidR="005B393D" w:rsidRDefault="000A69F4">
      <w:pPr>
        <w:pStyle w:val="FootnoteText"/>
      </w:pPr>
      <w:r>
        <w:t xml:space="preserve"> </w:t>
      </w:r>
      <w:r>
        <w:rPr>
          <w:rStyle w:val="FootnoteReference"/>
        </w:rPr>
        <w:footnoteRef/>
      </w:r>
      <w:r>
        <w:t xml:space="preserve"> Kampanja on jatkoa edelliselle kampanjalle, jonka tavoitte</w:t>
      </w:r>
      <w:r>
        <w:t xml:space="preserve">ena oli levittää yksilöille ja yrityksille tiedotusmateriaalia, joka on saatavilla osoitteessa </w:t>
      </w:r>
      <w:hyperlink r:id="rId21" w:history="1">
        <w:r>
          <w:rPr>
            <w:rStyle w:val="Hyperlink"/>
          </w:rPr>
          <w:t>https://ec.euro</w:t>
        </w:r>
        <w:r>
          <w:rPr>
            <w:rStyle w:val="Hyperlink"/>
          </w:rPr>
          <w:t>pa.eu/commission/priorities/justice-and-fundamental-rights/data-protection/2018-reform-eu-data-protection-rules_fi</w:t>
        </w:r>
      </w:hyperlink>
      <w:r>
        <w:t xml:space="preserve"> </w:t>
      </w:r>
    </w:p>
  </w:footnote>
  <w:footnote w:id="42">
    <w:p w:rsidR="005B393D" w:rsidRDefault="000A69F4">
      <w:pPr>
        <w:pStyle w:val="FootnoteText"/>
      </w:pPr>
      <w:r>
        <w:rPr>
          <w:rStyle w:val="FootnoteReference"/>
        </w:rPr>
        <w:footnoteRef/>
      </w:r>
      <w:r>
        <w:t xml:space="preserve"> Ks. asetusta käsittelevän eri sidosryhmistä koostuvan ryhmän raportti.</w:t>
      </w:r>
    </w:p>
  </w:footnote>
  <w:footnote w:id="43">
    <w:p w:rsidR="005B393D" w:rsidRDefault="000A69F4">
      <w:pPr>
        <w:pStyle w:val="FootnoteText"/>
      </w:pPr>
      <w:r>
        <w:rPr>
          <w:rStyle w:val="FootnoteReference"/>
        </w:rPr>
        <w:footnoteRef/>
      </w:r>
      <w:r>
        <w:t xml:space="preserve"> Yhtenä keskeisenä haasteena mainitaan usein tietoteknisen järjest</w:t>
      </w:r>
      <w:r>
        <w:t>elmän päivittäminen. Tämä koskee erityisesti sisäänrakennettua ja oletusarvoista tietosuojaa koskevien periaatteiden täytäntöönpanoa ja tietojen poistamisoikeuden täytäntöönpanoa varmuuskopioinnin yhteydessä.</w:t>
      </w:r>
    </w:p>
  </w:footnote>
  <w:footnote w:id="44">
    <w:p w:rsidR="005B393D" w:rsidRDefault="000A69F4">
      <w:pPr>
        <w:pStyle w:val="FootnoteText"/>
      </w:pPr>
      <w:r>
        <w:rPr>
          <w:rStyle w:val="FootnoteReference"/>
        </w:rPr>
        <w:footnoteRef/>
      </w:r>
      <w:r>
        <w:t xml:space="preserve"> Yritykset pyytävät tietosuojaneuvostoa antama</w:t>
      </w:r>
      <w:r>
        <w:t>an ohjeita myös perusteettomiin ja kohtuuttomiin pyyntöihin vastaamisesta.</w:t>
      </w:r>
    </w:p>
  </w:footnote>
  <w:footnote w:id="45">
    <w:p w:rsidR="005B393D" w:rsidRDefault="000A69F4">
      <w:pPr>
        <w:pStyle w:val="FootnoteText"/>
      </w:pPr>
      <w:r>
        <w:rPr>
          <w:rStyle w:val="FootnoteReference"/>
        </w:rPr>
        <w:footnoteRef/>
      </w:r>
      <w:r>
        <w:t xml:space="preserve"> Esimerkiksi Israelin kyberturvallisuusalaa edustavan järjestön julkaiseman raportin mukaan kyberturvallisuuden alasektoreista kasvoi vuonna 2018 nopeimmin ”tietosuoja ja yksityisy</w:t>
      </w:r>
      <w:r>
        <w:t>ys”, mikä johtui osittain yleisen tietosuoja-asetuksen soveltamisen alkamisesta.</w:t>
      </w:r>
    </w:p>
  </w:footnote>
  <w:footnote w:id="46">
    <w:p w:rsidR="005B393D" w:rsidRDefault="000A69F4">
      <w:pPr>
        <w:pStyle w:val="FootnoteText"/>
      </w:pPr>
      <w:r>
        <w:rPr>
          <w:rStyle w:val="FootnoteReference"/>
        </w:rPr>
        <w:footnoteRef/>
      </w:r>
      <w:r>
        <w:t xml:space="preserve"> Perustuu pk-yritysten määritelmään, joka on saatavilla osoitteessa </w:t>
      </w:r>
      <w:hyperlink r:id="rId22" w:history="1">
        <w:r>
          <w:rPr>
            <w:rStyle w:val="Hyperlink"/>
          </w:rPr>
          <w:t>https://e</w:t>
        </w:r>
        <w:r>
          <w:rPr>
            <w:rStyle w:val="Hyperlink"/>
          </w:rPr>
          <w:t>c.europa.eu/growth/smes/business-friendly-environment/sme-definition_fi</w:t>
        </w:r>
      </w:hyperlink>
      <w:r>
        <w:rPr>
          <w:rStyle w:val="Hyperlink"/>
        </w:rPr>
        <w:t>.</w:t>
      </w:r>
      <w:r>
        <w:t xml:space="preserve"> </w:t>
      </w:r>
    </w:p>
  </w:footnote>
  <w:footnote w:id="47">
    <w:p w:rsidR="005B393D" w:rsidRDefault="000A69F4">
      <w:pPr>
        <w:pStyle w:val="FootnoteText"/>
      </w:pPr>
      <w:r>
        <w:rPr>
          <w:rStyle w:val="FootnoteReference"/>
        </w:rPr>
        <w:footnoteRef/>
      </w:r>
      <w:r>
        <w:t xml:space="preserve"> Asetuksessa ei itse asiassa vaadita ainoastaan suostumusta, vaan siinä säädetään, että henkilötietojen käsittely edellyttää useiden oikeudellisten perusteiden täyttymistä.</w:t>
      </w:r>
    </w:p>
  </w:footnote>
  <w:footnote w:id="48">
    <w:p w:rsidR="005B393D" w:rsidRDefault="000A69F4">
      <w:pPr>
        <w:pStyle w:val="FootnoteText"/>
      </w:pPr>
      <w:r>
        <w:rPr>
          <w:rStyle w:val="FootnoteReference"/>
        </w:rPr>
        <w:footnoteRef/>
      </w:r>
      <w:r>
        <w:t xml:space="preserve"> Esimerkiksi Ranskan tietosuojaviranomainen on laatinut aiheesta oppaan: </w:t>
      </w:r>
      <w:hyperlink r:id="rId23" w:history="1">
        <w:r>
          <w:rPr>
            <w:rStyle w:val="Hyperlink"/>
          </w:rPr>
          <w:t>https://www.cnil.fr/fr/la-cnil-et-bpifrance</w:t>
        </w:r>
        <w:r>
          <w:rPr>
            <w:rStyle w:val="Hyperlink"/>
          </w:rPr>
          <w:t>-sassocient-pour-accompagner-les-tpe-et-pme-dans-leur-appropriation-du-reglement</w:t>
        </w:r>
      </w:hyperlink>
      <w:r>
        <w:rPr>
          <w:rStyle w:val="Hyperlink"/>
        </w:rPr>
        <w:t>.</w:t>
      </w:r>
      <w:r>
        <w:t xml:space="preserve"> </w:t>
      </w:r>
    </w:p>
  </w:footnote>
  <w:footnote w:id="49">
    <w:p w:rsidR="005B393D" w:rsidRDefault="000A69F4">
      <w:pPr>
        <w:pStyle w:val="FootnoteText"/>
        <w:ind w:left="0" w:firstLine="0"/>
      </w:pPr>
      <w:r>
        <w:rPr>
          <w:rStyle w:val="FootnoteReference"/>
        </w:rPr>
        <w:footnoteRef/>
      </w:r>
      <w:r>
        <w:t xml:space="preserve"> </w:t>
      </w:r>
      <w:hyperlink r:id="rId24" w:history="1">
        <w:r>
          <w:rPr>
            <w:rStyle w:val="Hyperlink"/>
          </w:rPr>
          <w:t>https://ec.europa.eu/commission/sites/beta-political/files/ds-02-18-544-fi</w:t>
        </w:r>
        <w:r>
          <w:rPr>
            <w:rStyle w:val="Hyperlink"/>
          </w:rPr>
          <w:t>-n.pdf</w:t>
        </w:r>
      </w:hyperlink>
      <w:r>
        <w:t xml:space="preserve"> </w:t>
      </w:r>
    </w:p>
  </w:footnote>
  <w:footnote w:id="50">
    <w:p w:rsidR="005B393D" w:rsidRDefault="000A69F4">
      <w:pPr>
        <w:pStyle w:val="FootnoteText"/>
      </w:pPr>
      <w:r>
        <w:rPr>
          <w:rStyle w:val="FootnoteReference"/>
        </w:rPr>
        <w:footnoteRef/>
      </w:r>
      <w:r>
        <w:t xml:space="preserve"> Ks. asetuksen 28 artikla. Komission hyväksymät vakiosopimuslausekkeet ovat päteviä koko EU:ssa. Sitä vastoin tietosuojaviranomaisen 28 artiklan 8 kohdan mukaisesti hyväksymät vakiosopimuslausekkeet sitovat vain sitä viranomaista, joka on hyväksyn</w:t>
      </w:r>
      <w:r>
        <w:t>yt ne, ja niitä voidaan näin ollen käyttää vakiosopimuslausekkeina sellaisissa käsittelytoimissa, jotka kuuluvat kyseisen viranomaisen toimivaltaan 55 ja 56 artiklan mukaisesti.</w:t>
      </w:r>
    </w:p>
  </w:footnote>
  <w:footnote w:id="51">
    <w:p w:rsidR="005B393D" w:rsidRDefault="000A69F4">
      <w:pPr>
        <w:pStyle w:val="FootnoteText"/>
      </w:pPr>
      <w:r>
        <w:rPr>
          <w:rStyle w:val="FootnoteReference"/>
        </w:rPr>
        <w:footnoteRef/>
      </w:r>
      <w:r>
        <w:t xml:space="preserve"> Ne ovat itse asiassa tärkein väline, jota yritykset hyödyntävät tietojen vie</w:t>
      </w:r>
      <w:r>
        <w:t>nnissä.</w:t>
      </w:r>
    </w:p>
  </w:footnote>
  <w:footnote w:id="52">
    <w:p w:rsidR="005B393D" w:rsidRDefault="000A69F4">
      <w:pPr>
        <w:pStyle w:val="FootnoteText"/>
      </w:pPr>
      <w:r>
        <w:rPr>
          <w:rStyle w:val="FootnoteReference"/>
        </w:rPr>
        <w:footnoteRef/>
      </w:r>
      <w:r>
        <w:t xml:space="preserve"> Euroopan tietosuojaneuvosto hyväksyi 4. kesäkuuta 2019 käytännesääntöjä koskevat ohjeet. Ohjeissa selvennetään käytännesääntöjen toimittamiseen, hyväksymiseen ja julkaisemiseen liittyviä menettelyjä ja sääntöjä sekä kansallisella että EU:n tasoll</w:t>
      </w:r>
      <w:r>
        <w:t>a.</w:t>
      </w:r>
    </w:p>
  </w:footnote>
  <w:footnote w:id="53">
    <w:p w:rsidR="005B393D" w:rsidRDefault="000A69F4">
      <w:pPr>
        <w:pStyle w:val="FootnoteText"/>
      </w:pPr>
      <w:r>
        <w:rPr>
          <w:rStyle w:val="FootnoteReference"/>
        </w:rPr>
        <w:footnoteRef/>
      </w:r>
      <w:r>
        <w:t xml:space="preserve"> Asetuksen johdanto-osan 98 kappale.</w:t>
      </w:r>
    </w:p>
  </w:footnote>
  <w:footnote w:id="54">
    <w:p w:rsidR="005B393D" w:rsidRDefault="000A69F4">
      <w:pPr>
        <w:pStyle w:val="FootnoteText"/>
      </w:pPr>
      <w:r>
        <w:rPr>
          <w:rStyle w:val="FootnoteReference"/>
        </w:rPr>
        <w:footnoteRef/>
      </w:r>
      <w:r>
        <w:t xml:space="preserve"> </w:t>
      </w:r>
      <w:hyperlink r:id="rId25" w:history="1">
        <w:r>
          <w:rPr>
            <w:rStyle w:val="Hyperlink"/>
          </w:rPr>
          <w:t>https://edpb.europa.eu/our-work-tools/our-documents/guidelines/guideli</w:t>
        </w:r>
        <w:r>
          <w:rPr>
            <w:rStyle w:val="Hyperlink"/>
          </w:rPr>
          <w:t>nes-12018-certification-and-identifying-certification_fi</w:t>
        </w:r>
      </w:hyperlink>
      <w:r>
        <w:t>;</w:t>
      </w:r>
    </w:p>
    <w:p w:rsidR="005B393D" w:rsidRDefault="000A69F4">
      <w:pPr>
        <w:pStyle w:val="FootnoteText"/>
      </w:pPr>
      <w:r>
        <w:tab/>
      </w:r>
      <w:hyperlink r:id="rId26" w:history="1">
        <w:r>
          <w:rPr>
            <w:rStyle w:val="Hyperlink"/>
          </w:rPr>
          <w:t>https://edpb.europa.eu/our-work-tools/our-documents/guide</w:t>
        </w:r>
        <w:r>
          <w:rPr>
            <w:rStyle w:val="Hyperlink"/>
          </w:rPr>
          <w:t>lines/guidelines-42018-accreditation-certification-bodies-under_fi</w:t>
        </w:r>
      </w:hyperlink>
    </w:p>
  </w:footnote>
  <w:footnote w:id="55">
    <w:p w:rsidR="005B393D" w:rsidRDefault="000A69F4">
      <w:pPr>
        <w:pStyle w:val="FootnoteText"/>
      </w:pPr>
      <w:r>
        <w:rPr>
          <w:rStyle w:val="FootnoteReference"/>
        </w:rPr>
        <w:footnoteRef/>
      </w:r>
      <w:r>
        <w:rPr>
          <w:lang w:val="en-US"/>
        </w:rPr>
        <w:t xml:space="preserve"> CIGI-Ipsos: </w:t>
      </w:r>
      <w:r>
        <w:rPr>
          <w:i/>
          <w:iCs/>
          <w:lang w:val="en-US"/>
        </w:rPr>
        <w:t>Global Survey on Internet Security and Trust</w:t>
      </w:r>
      <w:r>
        <w:rPr>
          <w:lang w:val="en-US"/>
        </w:rPr>
        <w:t xml:space="preserve">, 2019. </w:t>
      </w:r>
      <w:r>
        <w:t>Kyselyn mukaan 78 prosenttia vastaajista oli huolissaan yksityisyydestään verkossa ja 49 prosenttia kertoi paljastavansa ve</w:t>
      </w:r>
      <w:r>
        <w:t>rkossa aiempaa vähemmän henkilökohtaisia tietoja luottamuksen puutteen vuoksi. Vastaajista 43 prosenttia ilmoitti huolehtivansa tarkemmin laitteidensa suojaamisesta ja 39 prosenttia totesi käyttävänsä internetiä valikoivammin muiden varatoimenpiteiden lisä</w:t>
      </w:r>
      <w:r>
        <w:t>ksi. Kysely toteutettiin 25 maassa: Australia, Brasilia, Egypti, Etelä-Afrikka, Hongkong, Indonesia, Intia, Italia, Japani, Kanada, Kenia, Kiina, Korean tasavalta, Meksiko, Nigeria, Pakistan, Puola, Ranska, Ruotsi, Saksa, Tunisia, Turkki, Venäjä, Yhdistyny</w:t>
      </w:r>
      <w:r>
        <w:t>t kuningaskunta ja Yhdysvallat.</w:t>
      </w:r>
    </w:p>
  </w:footnote>
  <w:footnote w:id="56">
    <w:p w:rsidR="005B393D" w:rsidRDefault="000A69F4">
      <w:pPr>
        <w:pStyle w:val="FootnoteText"/>
      </w:pPr>
      <w:r>
        <w:rPr>
          <w:rStyle w:val="FootnoteReference"/>
        </w:rPr>
        <w:footnoteRef/>
      </w:r>
      <w:r>
        <w:t xml:space="preserve"> Euroopan neuvoston yleissopimus, tehty 28 päivänä tammikuuta 1981, yksilöiden suojelusta henkilötietojen automaattisessa tietojenkäsittelyssä (ETS 108) ja vuonna 2001 tehty yksilöiden suojelusta henkilötietojen automaattis</w:t>
      </w:r>
      <w:r>
        <w:t>essa tietojenkäsittelyssä tehdyn yleissopimuksen valvontaviranomaisia ja rajat ylittäviä tietovirtoja koskeva lisäpöytäkirja (ETS 181). Se on ainoa tietosuoja-alalla hyväksytty oikeudellisesti sitova monenvälinen väline. Yleissopimuksen ovat viimeksi ratif</w:t>
      </w:r>
      <w:r>
        <w:t>ioineet Argentiina, Kap Verde, Marokko ja Meksiko.</w:t>
      </w:r>
    </w:p>
  </w:footnote>
  <w:footnote w:id="57">
    <w:p w:rsidR="005B393D" w:rsidRDefault="000A69F4">
      <w:pPr>
        <w:pStyle w:val="FootnoteText"/>
      </w:pPr>
      <w:r>
        <w:rPr>
          <w:rStyle w:val="FootnoteReference"/>
        </w:rPr>
        <w:footnoteRef/>
      </w:r>
      <w:r>
        <w:t xml:space="preserve"> Yksilöiden suojelusta henkilötietojen automaattisessa tietojenkäsittelyssä tehdyn yleissopimuksen (ETS 108) muuttamista koskeva pöytäkirja, sellaisena kuin se hyväksyttiin 17. ja 18. toukokuuta 2018 pide</w:t>
      </w:r>
      <w:r>
        <w:t>tyssä ministerikomitean 128. istunnossa Helsingørissa Tanskassa. Uudistetun yleissopimuksen nro 108 konsolidoitu versio on saatavilla (englanniksi) osoitteessa</w:t>
      </w:r>
      <w:r>
        <w:rPr>
          <w:rFonts w:ascii="Calibri" w:hAnsi="Calibri"/>
          <w:color w:val="1F497D"/>
          <w:sz w:val="22"/>
          <w:szCs w:val="22"/>
        </w:rPr>
        <w:t xml:space="preserve"> </w:t>
      </w:r>
      <w:hyperlink r:id="rId27" w:history="1">
        <w:r>
          <w:rPr>
            <w:rStyle w:val="Hyperlink"/>
          </w:rPr>
          <w:t>https://rm.coe.int/16808ade9d</w:t>
        </w:r>
      </w:hyperlink>
      <w:r>
        <w:rPr>
          <w:rStyle w:val="Hyperlink"/>
        </w:rPr>
        <w:t>.</w:t>
      </w:r>
    </w:p>
  </w:footnote>
  <w:footnote w:id="58">
    <w:p w:rsidR="005B393D" w:rsidRDefault="000A69F4">
      <w:pPr>
        <w:pStyle w:val="FootnoteText"/>
      </w:pPr>
      <w:r>
        <w:rPr>
          <w:rStyle w:val="FootnoteReference"/>
        </w:rPr>
        <w:footnoteRef/>
      </w:r>
      <w:r>
        <w:t xml:space="preserve"> Komission tiedona</w:t>
      </w:r>
      <w:r>
        <w:t>nto Euroopan parlamentille ja neuvostolle ”Henkilötietojen vaihtaminen ja suojaaminen globalisoituneessa maailmassa”, COM(2017) 7 final.</w:t>
      </w:r>
    </w:p>
  </w:footnote>
  <w:footnote w:id="59">
    <w:p w:rsidR="005B393D" w:rsidRDefault="000A69F4">
      <w:pPr>
        <w:pStyle w:val="FootnoteText"/>
      </w:pPr>
      <w:r>
        <w:rPr>
          <w:rStyle w:val="FootnoteReference"/>
        </w:rPr>
        <w:footnoteRef/>
      </w:r>
      <w:r>
        <w:t xml:space="preserve"> Asetuksessa säädetään myös mahdollisuudesta todeta kansainvälisten järjestöjen tietosuojan taso riittäväksi. Tämä on </w:t>
      </w:r>
      <w:r>
        <w:t>osa EU:n toimia, joiden tarkoituksena on helpottaa tietojen vaihtoa kyseisten tahojen kanssa.</w:t>
      </w:r>
    </w:p>
  </w:footnote>
  <w:footnote w:id="60">
    <w:p w:rsidR="005B393D" w:rsidRDefault="000A69F4">
      <w:pPr>
        <w:pStyle w:val="FootnoteText"/>
      </w:pPr>
      <w:r>
        <w:rPr>
          <w:rStyle w:val="FootnoteReference"/>
        </w:rPr>
        <w:footnoteRef/>
      </w:r>
      <w:r>
        <w:t xml:space="preserve"> Esimerkiksi Argentiina, Israel, Kolumbia ja Sveitsi noudattavat tätä lähestymistapaa. </w:t>
      </w:r>
    </w:p>
  </w:footnote>
  <w:footnote w:id="61">
    <w:p w:rsidR="005B393D" w:rsidRDefault="000A69F4">
      <w:pPr>
        <w:pStyle w:val="FootnoteText"/>
      </w:pPr>
      <w:r>
        <w:rPr>
          <w:rStyle w:val="FootnoteReference"/>
        </w:rPr>
        <w:footnoteRef/>
      </w:r>
      <w:r>
        <w:t xml:space="preserve"> Tämä tarkoittaa, että Privacy Shield </w:t>
      </w:r>
      <w:r>
        <w:noBreakHyphen/>
        <w:t>järjestelyssä on kolmen ensimmäis</w:t>
      </w:r>
      <w:r>
        <w:t xml:space="preserve">en toimintavuoden jälkeen enemmän osallistuvia yrityksiä kuin sitä edeltävässä safe harbour </w:t>
      </w:r>
      <w:r>
        <w:noBreakHyphen/>
        <w:t>järjestelmässä oli 13 toimintavuoden jälkeen.</w:t>
      </w:r>
    </w:p>
  </w:footnote>
  <w:footnote w:id="62">
    <w:p w:rsidR="005B393D" w:rsidRDefault="000A69F4">
      <w:pPr>
        <w:pStyle w:val="FootnoteText"/>
        <w:tabs>
          <w:tab w:val="clear" w:pos="360"/>
          <w:tab w:val="left" w:pos="240"/>
        </w:tabs>
        <w:ind w:left="357" w:hanging="357"/>
      </w:pPr>
      <w:r>
        <w:rPr>
          <w:rStyle w:val="FootnoteReference"/>
        </w:rPr>
        <w:footnoteRef/>
      </w:r>
      <w:r>
        <w:t xml:space="preserve"> Tämä näkyy esimerkiksi siinä, että käsite ”Data Free Flow with Trust” mainitaan G20-johtajien Osakan julkilausumassa:</w:t>
      </w:r>
    </w:p>
    <w:p w:rsidR="005B393D" w:rsidRDefault="000A69F4">
      <w:pPr>
        <w:pStyle w:val="FootnoteText"/>
        <w:tabs>
          <w:tab w:val="clear" w:pos="360"/>
          <w:tab w:val="left" w:pos="426"/>
        </w:tabs>
        <w:ind w:left="357" w:hanging="357"/>
      </w:pPr>
      <w:r>
        <w:tab/>
      </w:r>
      <w:hyperlink r:id="rId28" w:history="1">
        <w:r>
          <w:rPr>
            <w:rStyle w:val="Hyperlink"/>
          </w:rPr>
          <w:t>https://www.consilium.europa.eu/medi</w:t>
        </w:r>
        <w:r>
          <w:rPr>
            <w:rStyle w:val="Hyperlink"/>
          </w:rPr>
          <w:t>a/40124/final_g20_osaka_leaders_declaration.pdf</w:t>
        </w:r>
      </w:hyperlink>
      <w:r>
        <w:t>.</w:t>
      </w:r>
    </w:p>
  </w:footnote>
  <w:footnote w:id="63">
    <w:p w:rsidR="005B393D" w:rsidRDefault="000A69F4">
      <w:pPr>
        <w:pStyle w:val="FootnoteText"/>
        <w:tabs>
          <w:tab w:val="clear" w:pos="360"/>
          <w:tab w:val="left" w:pos="426"/>
        </w:tabs>
        <w:ind w:left="357" w:hanging="357"/>
      </w:pPr>
      <w:r>
        <w:rPr>
          <w:rStyle w:val="FootnoteReference"/>
        </w:rPr>
        <w:footnoteRef/>
      </w:r>
      <w:r>
        <w:t xml:space="preserve"> Ks. komission tiedonanto Euroopan parlamentille, neuvostolle, Euroopan talous- ja sosiaalikomitealle ja alueiden komitealle ”Euroopan turvallisuusagenda”, COM(2015) 185 final.</w:t>
      </w:r>
    </w:p>
  </w:footnote>
  <w:footnote w:id="64">
    <w:p w:rsidR="005B393D" w:rsidRDefault="000A69F4">
      <w:pPr>
        <w:pStyle w:val="FootnoteText"/>
        <w:tabs>
          <w:tab w:val="clear" w:pos="360"/>
          <w:tab w:val="left" w:pos="240"/>
        </w:tabs>
        <w:ind w:left="357" w:hanging="357"/>
      </w:pPr>
      <w:r>
        <w:rPr>
          <w:rStyle w:val="FootnoteReference"/>
        </w:rPr>
        <w:footnoteRef/>
      </w:r>
      <w:r>
        <w:t xml:space="preserve"> EU:n ja Yhdysvaltojen sopimus henkilötietojen suojasta tilanteissa, joissa niitä siirretään ja käsitellään rikoksien ja terrorismin estämiseksi, tutkimiseksi, havaitsemiseksi ja niistä syyttämiseksi rikosasioissa tehtävän poliisi- ja oikeudellisen yhteist</w:t>
      </w:r>
      <w:r>
        <w:t xml:space="preserve">yön yhteydessä. </w:t>
      </w:r>
      <w:r>
        <w:rPr>
          <w:lang w:val="pl-PL"/>
        </w:rPr>
        <w:t xml:space="preserve">Ks. </w:t>
      </w:r>
      <w:hyperlink r:id="rId29" w:history="1">
        <w:r>
          <w:rPr>
            <w:rStyle w:val="Hyperlink"/>
            <w:lang w:val="pl-PL"/>
          </w:rPr>
          <w:t>https://eur-lex.europa.eu/legal-content/FI/TXT/?uri=celex:22016A1210(01)</w:t>
        </w:r>
      </w:hyperlink>
      <w:r>
        <w:rPr>
          <w:lang w:val="pl-PL"/>
        </w:rPr>
        <w:t xml:space="preserve">. </w:t>
      </w:r>
      <w:r>
        <w:t>Tietosuojaa koskeva puitesopimus on ensimmäinen lainvalvonta-alalla tehty</w:t>
      </w:r>
      <w:r>
        <w:t xml:space="preserve"> kahdenvälinen kansainvälinen sopimus, jossa määrätään kattavasta joukosta EU:n säännöstön mukaisia tietosuojaoikeuksia ja </w:t>
      </w:r>
      <w:r>
        <w:noBreakHyphen/>
        <w:t xml:space="preserve">velvollisuuksia. Se on hyvä esimerkki siitä, miten lainvalvontayhteistyötä tärkeän kansainvälisen kumppanin kanssa voidaan kehittää </w:t>
      </w:r>
      <w:r>
        <w:t>neuvottelemalla vahvat tietosuojaan liittyvät suojatoimet.</w:t>
      </w:r>
    </w:p>
  </w:footnote>
  <w:footnote w:id="65">
    <w:p w:rsidR="005B393D" w:rsidRDefault="000A69F4">
      <w:pPr>
        <w:pStyle w:val="FootnoteText"/>
      </w:pPr>
      <w:r>
        <w:rPr>
          <w:rStyle w:val="FootnoteReference"/>
        </w:rPr>
        <w:footnoteRef/>
      </w:r>
      <w:r>
        <w:t xml:space="preserve"> YK:n turvallisuusneuvoston 21. joulukuuta 2017 antamassa päätöslauselmassa 2396 kehotetaan kaikkia YK:n jäsenvaltioita kehittämään valmiuksia kerätä, käsitellä ja analysoida PNR-tietoja ihmisoike</w:t>
      </w:r>
      <w:r>
        <w:t xml:space="preserve">udet ja perusvapaudet kaikilta osin huomioon ottaen. Ks. myös komission tiedonanto ”Euroopan turvallisuusagenda”, COM(2015) 185 final: </w:t>
      </w:r>
      <w:hyperlink r:id="rId30" w:history="1">
        <w:r>
          <w:rPr>
            <w:rStyle w:val="Hyperlink"/>
          </w:rPr>
          <w:t>https://ec.europa.eu/home-affai</w:t>
        </w:r>
        <w:r>
          <w:rPr>
            <w:rStyle w:val="Hyperlink"/>
          </w:rPr>
          <w:t>rs/sites/homeaffairs/files/e-library/documents/basic-documents/docs/eu_agenda_on_security_en.pdf</w:t>
        </w:r>
      </w:hyperlink>
      <w:r>
        <w:rPr>
          <w:rStyle w:val="Hyperlink"/>
        </w:rPr>
        <w:t>.</w:t>
      </w:r>
      <w:r>
        <w:t xml:space="preserve"> </w:t>
      </w:r>
    </w:p>
  </w:footnote>
  <w:footnote w:id="66">
    <w:p w:rsidR="005B393D" w:rsidRDefault="000A69F4">
      <w:pPr>
        <w:pStyle w:val="FootnoteText"/>
      </w:pPr>
      <w:r>
        <w:rPr>
          <w:rStyle w:val="FootnoteReference"/>
        </w:rPr>
        <w:footnoteRef/>
      </w:r>
      <w:r>
        <w:t xml:space="preserve"> </w:t>
      </w:r>
      <w:hyperlink r:id="rId31" w:history="1">
        <w:r>
          <w:rPr>
            <w:rStyle w:val="Hyperlink"/>
          </w:rPr>
          <w:t>htt</w:t>
        </w:r>
        <w:r>
          <w:rPr>
            <w:rStyle w:val="Hyperlink"/>
          </w:rPr>
          <w:t>ps://ec.europa.eu/home-affairs/news/security-union-strengthening-europols-cooperation-third-countries-fight-terrorism-and-serious_en</w:t>
        </w:r>
      </w:hyperlink>
      <w:r>
        <w:t xml:space="preserve"> </w:t>
      </w:r>
    </w:p>
  </w:footnote>
  <w:footnote w:id="67">
    <w:p w:rsidR="005B393D" w:rsidRDefault="000A69F4">
      <w:pPr>
        <w:pStyle w:val="FootnoteText"/>
      </w:pPr>
      <w:r>
        <w:rPr>
          <w:rStyle w:val="FootnoteReference"/>
        </w:rPr>
        <w:footnoteRef/>
      </w:r>
      <w:r>
        <w:t xml:space="preserve"> </w:t>
      </w:r>
      <w:hyperlink r:id="rId32" w:history="1">
        <w:r>
          <w:rPr>
            <w:rStyle w:val="Hyperlink"/>
          </w:rPr>
          <w:t>http://europa.eu/rapid/press-release_IP-19-2891_e</w:t>
        </w:r>
        <w:r>
          <w:rPr>
            <w:rStyle w:val="Hyperlink"/>
          </w:rPr>
          <w:t>n.htm</w:t>
        </w:r>
      </w:hyperlink>
      <w:r>
        <w:t xml:space="preserve"> </w:t>
      </w:r>
    </w:p>
  </w:footnote>
  <w:footnote w:id="68">
    <w:p w:rsidR="005B393D" w:rsidRDefault="000A69F4">
      <w:pPr>
        <w:pStyle w:val="FootnoteText"/>
      </w:pPr>
      <w:r>
        <w:rPr>
          <w:rStyle w:val="FootnoteReference"/>
        </w:rPr>
        <w:footnoteRef/>
      </w:r>
      <w:r>
        <w:t xml:space="preserve"> Ks. asetuksen 50 artikla, joka koskee kansainvälistä yhteistyötä tietosuojan alalla. Artikla kattaa useita yhteistyömuotoja, kuten henkilötietojen suojaa koskevasta lainsäädännöstä tiedottamisen, valitusten lähettämisen käsiteltäväksi ja tutkinta-</w:t>
      </w:r>
      <w:r>
        <w:t>avun antamisen.</w:t>
      </w:r>
    </w:p>
  </w:footnote>
  <w:footnote w:id="69">
    <w:p w:rsidR="005B393D" w:rsidRDefault="000A69F4">
      <w:pPr>
        <w:pStyle w:val="FootnoteText"/>
      </w:pPr>
      <w:r>
        <w:rPr>
          <w:rStyle w:val="FootnoteReference"/>
        </w:rPr>
        <w:footnoteRef/>
      </w:r>
      <w:r>
        <w:t xml:space="preserve"> Esimerkiksi tietoturvaloukkauksista ilmoittamista koskevat yhteiset mallit.</w:t>
      </w:r>
    </w:p>
  </w:footnote>
  <w:footnote w:id="70">
    <w:p w:rsidR="005B393D" w:rsidRDefault="000A69F4">
      <w:pPr>
        <w:pStyle w:val="FootnoteText"/>
      </w:pPr>
      <w:r>
        <w:rPr>
          <w:rStyle w:val="FootnoteReference"/>
        </w:rPr>
        <w:footnoteRef/>
      </w:r>
      <w:r>
        <w:t xml:space="preserve"> </w:t>
      </w:r>
      <w:r>
        <w:tab/>
      </w:r>
      <w:hyperlink r:id="rId33" w:history="1">
        <w:r>
          <w:rPr>
            <w:rStyle w:val="Hyperlink"/>
          </w:rPr>
          <w:t>https://eur-lex.europa.eu/legal-content/FI/TXT/?uri=CELEX:52017PC0010</w:t>
        </w:r>
      </w:hyperlink>
      <w:r>
        <w:t xml:space="preserve"> </w:t>
      </w:r>
    </w:p>
  </w:footnote>
  <w:footnote w:id="71">
    <w:p w:rsidR="005B393D" w:rsidRDefault="000A69F4">
      <w:pPr>
        <w:pStyle w:val="FootnoteText"/>
      </w:pPr>
      <w:r>
        <w:rPr>
          <w:rStyle w:val="FootnoteReference"/>
        </w:rPr>
        <w:footnoteRef/>
      </w:r>
      <w:r>
        <w:t xml:space="preserve"> </w:t>
      </w:r>
      <w:r>
        <w:t>Euroopan parlamentin ja neuvoston direktiivi 2002/58/EY, annettu 12 päivänä heinäkuuta 2002, henkilötietojen käsittelystä ja yksityisyyden suojasta sähköisen viestinnän alalla (sähköisen viestinnän tietosuojadirektiivi) (EYVL L 201, 31.7.2002, s. 37–47).</w:t>
      </w:r>
    </w:p>
  </w:footnote>
  <w:footnote w:id="72">
    <w:p w:rsidR="005B393D" w:rsidRDefault="000A69F4">
      <w:pPr>
        <w:pStyle w:val="FootnoteText"/>
      </w:pPr>
      <w:r>
        <w:rPr>
          <w:rStyle w:val="FootnoteReference"/>
        </w:rPr>
        <w:footnoteRef/>
      </w:r>
      <w:r>
        <w:t xml:space="preserve"> </w:t>
      </w:r>
      <w:r>
        <w:tab/>
      </w:r>
      <w:hyperlink r:id="rId34" w:history="1">
        <w:r>
          <w:rPr>
            <w:rStyle w:val="Hyperlink"/>
          </w:rPr>
          <w:t>https://eur-lex.europa.eu/legal-content/FI/TXT/?uri=celex:32014R0536</w:t>
        </w:r>
      </w:hyperlink>
      <w:r>
        <w:t xml:space="preserve"> </w:t>
      </w:r>
    </w:p>
  </w:footnote>
  <w:footnote w:id="73">
    <w:p w:rsidR="005B393D" w:rsidRDefault="000A69F4">
      <w:pPr>
        <w:pStyle w:val="FootnoteText"/>
        <w:jc w:val="left"/>
      </w:pPr>
      <w:r>
        <w:rPr>
          <w:rStyle w:val="FootnoteReference"/>
        </w:rPr>
        <w:footnoteRef/>
      </w:r>
      <w:r>
        <w:t xml:space="preserve"> </w:t>
      </w:r>
      <w:hyperlink r:id="rId35" w:history="1">
        <w:r>
          <w:rPr>
            <w:rStyle w:val="Hyperlink"/>
          </w:rPr>
          <w:t>https://ec.europa.eu/health/sites/health/files/files/documents/qa_clinicaltrials_gdpr_en.pdf</w:t>
        </w:r>
      </w:hyperlink>
      <w:r>
        <w:t xml:space="preserve"> </w:t>
      </w:r>
    </w:p>
  </w:footnote>
  <w:footnote w:id="74">
    <w:p w:rsidR="005B393D" w:rsidRDefault="000A69F4">
      <w:pPr>
        <w:pStyle w:val="FootnoteText"/>
      </w:pPr>
      <w:r>
        <w:rPr>
          <w:rStyle w:val="FootnoteReference"/>
        </w:rPr>
        <w:footnoteRef/>
      </w:r>
      <w:r>
        <w:t xml:space="preserve"> Komission tiedonanto ”Luottamuksen rakentaminen ihmiskeskeiseen tekoälyyn”, 8.4.2019: </w:t>
      </w:r>
      <w:hyperlink r:id="rId36" w:history="1">
        <w:r>
          <w:rPr>
            <w:rStyle w:val="Hyperlink"/>
          </w:rPr>
          <w:t>https://ec.europa.eu/digital-single-market/en/news/communication-building-trust-human-centric-artificial-intelligence</w:t>
        </w:r>
      </w:hyperlink>
      <w:r>
        <w:t xml:space="preserve"> </w:t>
      </w:r>
    </w:p>
    <w:p w:rsidR="005B393D" w:rsidRDefault="000A69F4">
      <w:pPr>
        <w:pStyle w:val="FootnoteText"/>
      </w:pPr>
      <w:r>
        <w:tab/>
        <w:t>Korkean tason asiantuntijaryhmän (HLEG) 8. huhtikuuta 2019 antam</w:t>
      </w:r>
      <w:r>
        <w:t xml:space="preserve">at luotettavaa tekoälyä koskevat eettiset ohjeet: </w:t>
      </w:r>
      <w:hyperlink r:id="rId37" w:history="1">
        <w:r>
          <w:rPr>
            <w:rStyle w:val="Hyperlink"/>
          </w:rPr>
          <w:t>https://ec.europa.eu/digital-single-market/en/news/ethics-guidelines-trustworthy-ai</w:t>
        </w:r>
      </w:hyperlink>
      <w:r>
        <w:t>. Ks. myös tekoälyä kos</w:t>
      </w:r>
      <w:r>
        <w:t xml:space="preserve">keva OECD:n suositus: </w:t>
      </w:r>
      <w:hyperlink r:id="rId38" w:history="1">
        <w:r>
          <w:rPr>
            <w:rStyle w:val="Hyperlink"/>
          </w:rPr>
          <w:t>https://legalinstruments.oecd.org/en/instruments/OECD-LEGAL-0449</w:t>
        </w:r>
      </w:hyperlink>
      <w:r>
        <w:t>, G20-johtajien Osakan julkilausuman osana vahvistetut tekoälyä koskevat G20-maiden peria</w:t>
      </w:r>
      <w:r>
        <w:t xml:space="preserve">atteet: </w:t>
      </w:r>
      <w:hyperlink r:id="rId39" w:history="1">
        <w:r>
          <w:rPr>
            <w:rStyle w:val="Hyperlink"/>
          </w:rPr>
          <w:t>https://www.g20.org/pdf/documents/en/annex_08.pdf</w:t>
        </w:r>
      </w:hyperlink>
      <w:r>
        <w:rPr>
          <w:rStyle w:val="Hyperlink"/>
        </w:rPr>
        <w:t xml:space="preserve"> </w:t>
      </w:r>
      <w:r>
        <w:t xml:space="preserve">ja G20-ministerien lausuma kaupasta ja digitaalitaloudesta: </w:t>
      </w:r>
      <w:hyperlink r:id="rId40" w:history="1">
        <w:r>
          <w:rPr>
            <w:rStyle w:val="Hyperlink"/>
          </w:rPr>
          <w:t>https://g20trade-digital.go.jp/dl/Ministerial_Statement_on_Trade_and_Digital_Economy.pdf</w:t>
        </w:r>
      </w:hyperlink>
      <w:r>
        <w:t>.</w:t>
      </w:r>
    </w:p>
  </w:footnote>
  <w:footnote w:id="75">
    <w:p w:rsidR="005B393D" w:rsidRDefault="000A69F4">
      <w:pPr>
        <w:pStyle w:val="FootnoteText"/>
        <w:jc w:val="left"/>
      </w:pPr>
      <w:r>
        <w:rPr>
          <w:rStyle w:val="FootnoteReference"/>
        </w:rPr>
        <w:footnoteRef/>
      </w:r>
      <w:r>
        <w:t xml:space="preserve"> Asetuksen 22 artikla.</w:t>
      </w:r>
    </w:p>
  </w:footnote>
  <w:footnote w:id="76">
    <w:p w:rsidR="005B393D" w:rsidRDefault="000A69F4">
      <w:pPr>
        <w:pStyle w:val="FootnoteText"/>
        <w:jc w:val="left"/>
      </w:pPr>
      <w:r>
        <w:rPr>
          <w:rStyle w:val="FootnoteReference"/>
        </w:rPr>
        <w:footnoteRef/>
      </w:r>
      <w:r>
        <w:t xml:space="preserve"> Asetuksen 13 artiklan 2 kohdan f alak</w:t>
      </w:r>
      <w:r>
        <w:t>ohta.</w:t>
      </w:r>
    </w:p>
  </w:footnote>
  <w:footnote w:id="77">
    <w:p w:rsidR="005B393D" w:rsidRDefault="000A69F4">
      <w:pPr>
        <w:pStyle w:val="FootnoteText"/>
      </w:pPr>
      <w:r>
        <w:rPr>
          <w:rStyle w:val="FootnoteReference"/>
        </w:rPr>
        <w:footnoteRef/>
      </w:r>
      <w:r>
        <w:t xml:space="preserve"> </w:t>
      </w:r>
      <w:hyperlink r:id="rId41" w:history="1">
        <w:r>
          <w:rPr>
            <w:rStyle w:val="Hyperlink"/>
          </w:rPr>
          <w:t>https://ec.europa.eu/digital-single-market/en/high-level-expert-group-artificial-intelligence</w:t>
        </w:r>
      </w:hyperlink>
      <w:r>
        <w:t xml:space="preserve"> </w:t>
      </w:r>
    </w:p>
  </w:footnote>
  <w:footnote w:id="78">
    <w:p w:rsidR="005B393D" w:rsidRDefault="000A69F4">
      <w:pPr>
        <w:pStyle w:val="FootnoteText"/>
        <w:jc w:val="left"/>
      </w:pPr>
      <w:r>
        <w:rPr>
          <w:rStyle w:val="FootnoteReference"/>
        </w:rPr>
        <w:footnoteRef/>
      </w:r>
      <w:r>
        <w:t xml:space="preserve"> Tekoälyä koskeva OECD:n neuvoston suositu</w:t>
      </w:r>
      <w:r>
        <w:t xml:space="preserve">s: </w:t>
      </w:r>
      <w:hyperlink r:id="rId42" w:history="1">
        <w:r>
          <w:rPr>
            <w:rStyle w:val="Hyperlink"/>
          </w:rPr>
          <w:t>https://legalinstruments.oecd.org/en/instruments/OECD-LEGAL-0449</w:t>
        </w:r>
      </w:hyperlink>
      <w:r>
        <w:t xml:space="preserve">. </w:t>
      </w:r>
    </w:p>
  </w:footnote>
  <w:footnote w:id="79">
    <w:p w:rsidR="005B393D" w:rsidRDefault="000A69F4">
      <w:pPr>
        <w:pStyle w:val="FootnoteText"/>
        <w:jc w:val="left"/>
      </w:pPr>
      <w:r>
        <w:rPr>
          <w:rStyle w:val="FootnoteReference"/>
        </w:rPr>
        <w:footnoteRef/>
      </w:r>
      <w:r>
        <w:t>G20-ministerien lausuma kaupasta ja digitaalitaloudesta:</w:t>
      </w:r>
    </w:p>
    <w:p w:rsidR="005B393D" w:rsidRDefault="000A69F4">
      <w:pPr>
        <w:pStyle w:val="FootnoteText"/>
        <w:jc w:val="left"/>
      </w:pPr>
      <w:r>
        <w:tab/>
      </w:r>
      <w:hyperlink r:id="rId43" w:history="1">
        <w:r>
          <w:rPr>
            <w:rStyle w:val="Hyperlink"/>
          </w:rPr>
          <w:t>https://g20trade-digital.go.jp/dl/Ministerial_Statement_on_Trade_and_Digital_Economy.pdf</w:t>
        </w:r>
      </w:hyperlink>
      <w:r>
        <w:t>.</w:t>
      </w:r>
    </w:p>
  </w:footnote>
  <w:footnote w:id="80">
    <w:p w:rsidR="005B393D" w:rsidRDefault="000A69F4">
      <w:pPr>
        <w:pStyle w:val="FootnoteText"/>
      </w:pPr>
      <w:r>
        <w:rPr>
          <w:rStyle w:val="FootnoteReference"/>
        </w:rPr>
        <w:footnoteRef/>
      </w:r>
      <w:r>
        <w:t xml:space="preserve"> </w:t>
      </w:r>
      <w:hyperlink r:id="rId44" w:history="1">
        <w:r>
          <w:rPr>
            <w:rStyle w:val="Hyperlink"/>
          </w:rPr>
          <w:t>https://edpb.europa.eu/sites/edpb/files/files/file1/edpb-2019-02-12plen-2.1edpb_work_program_en.pdf</w:t>
        </w:r>
      </w:hyperlink>
      <w:r>
        <w:t xml:space="preserve"> </w:t>
      </w:r>
    </w:p>
  </w:footnote>
  <w:footnote w:id="81">
    <w:p w:rsidR="005B393D" w:rsidRDefault="000A69F4">
      <w:pPr>
        <w:pStyle w:val="FootnoteText"/>
      </w:pPr>
      <w:r>
        <w:rPr>
          <w:rStyle w:val="FootnoteReference"/>
        </w:rPr>
        <w:footnoteRef/>
      </w:r>
      <w:r>
        <w:t xml:space="preserve"> Esimerkiksi helpottamalla suunnittelua ja eri liikennevälineiden käyttöä matkan aikana.</w:t>
      </w:r>
    </w:p>
  </w:footnote>
  <w:footnote w:id="82">
    <w:p w:rsidR="005B393D" w:rsidRDefault="000A69F4">
      <w:pPr>
        <w:pStyle w:val="FootnoteText"/>
        <w:jc w:val="left"/>
      </w:pPr>
      <w:r>
        <w:rPr>
          <w:rStyle w:val="FootnoteReference"/>
        </w:rPr>
        <w:footnoteRef/>
      </w:r>
      <w:r>
        <w:t xml:space="preserve"> Erityisesti sähködirektiivi:</w:t>
      </w:r>
    </w:p>
    <w:p w:rsidR="005B393D" w:rsidRDefault="000A69F4">
      <w:pPr>
        <w:pStyle w:val="FootnoteText"/>
        <w:jc w:val="left"/>
      </w:pPr>
      <w:r>
        <w:tab/>
      </w:r>
      <w:hyperlink r:id="rId45" w:history="1">
        <w:r>
          <w:rPr>
            <w:rStyle w:val="Hyperlink"/>
          </w:rPr>
          <w:t>https://eur-lex.europa.eu/legal-content/FI/ALL/?uri=CELEX%3A32009L0072</w:t>
        </w:r>
      </w:hyperlink>
      <w:r>
        <w:rPr>
          <w:rStyle w:val="Hyperlink"/>
        </w:rPr>
        <w:t>.</w:t>
      </w:r>
      <w:r>
        <w:t xml:space="preserve"> </w:t>
      </w:r>
    </w:p>
  </w:footnote>
  <w:footnote w:id="83">
    <w:p w:rsidR="005B393D" w:rsidRDefault="000A69F4">
      <w:pPr>
        <w:pStyle w:val="FootnoteText"/>
      </w:pPr>
      <w:r>
        <w:rPr>
          <w:rStyle w:val="FootnoteReference"/>
        </w:rPr>
        <w:footnoteRef/>
      </w:r>
      <w:r>
        <w:t xml:space="preserve"> Esimerkiksi asia M.8788 – Apple/Shazam ja asia M.8124 – Microsoft / LinkedIn.</w:t>
      </w:r>
    </w:p>
  </w:footnote>
  <w:footnote w:id="84">
    <w:p w:rsidR="005B393D" w:rsidRDefault="000A69F4">
      <w:pPr>
        <w:pStyle w:val="FootnoteText"/>
      </w:pPr>
      <w:r>
        <w:rPr>
          <w:rStyle w:val="FootnoteReference"/>
        </w:rPr>
        <w:footnoteRef/>
      </w:r>
      <w:r>
        <w:t xml:space="preserve"> </w:t>
      </w:r>
      <w:hyperlink r:id="rId46" w:history="1">
        <w:r>
          <w:rPr>
            <w:rStyle w:val="Hyperlink"/>
          </w:rPr>
          <w:t>http://europa.eu/rapid/press-release_IP-18-5681_fi.htm</w:t>
        </w:r>
      </w:hyperlink>
      <w:r>
        <w:t xml:space="preserve"> </w:t>
      </w:r>
    </w:p>
  </w:footnote>
  <w:footnote w:id="85">
    <w:p w:rsidR="005B393D" w:rsidRDefault="000A69F4">
      <w:pPr>
        <w:pStyle w:val="FootnoteText"/>
        <w:jc w:val="left"/>
      </w:pPr>
      <w:r>
        <w:rPr>
          <w:rStyle w:val="FootnoteReference"/>
        </w:rPr>
        <w:footnoteRef/>
      </w:r>
      <w:r>
        <w:t xml:space="preserve"> </w:t>
      </w:r>
      <w:hyperlink r:id="rId47" w:history="1">
        <w:r>
          <w:rPr>
            <w:rStyle w:val="Hyperlink"/>
          </w:rPr>
          <w:t>https://eur-lex.europa.eu/legal-content</w:t>
        </w:r>
        <w:r>
          <w:rPr>
            <w:rStyle w:val="Hyperlink"/>
          </w:rPr>
          <w:t>/FI/TXT/PDF/?uri=CELEX:52018DC0638</w:t>
        </w:r>
      </w:hyperlink>
      <w:r>
        <w:t xml:space="preserve"> </w:t>
      </w:r>
    </w:p>
  </w:footnote>
  <w:footnote w:id="86">
    <w:p w:rsidR="005B393D" w:rsidRDefault="000A69F4">
      <w:pPr>
        <w:pStyle w:val="FootnoteText"/>
        <w:jc w:val="left"/>
      </w:pPr>
      <w:r>
        <w:rPr>
          <w:rStyle w:val="FootnoteReference"/>
        </w:rPr>
        <w:footnoteRef/>
      </w:r>
      <w:r>
        <w:t xml:space="preserve"> </w:t>
      </w:r>
      <w:hyperlink r:id="rId48" w:history="1">
        <w:r>
          <w:rPr>
            <w:rStyle w:val="Hyperlink"/>
          </w:rPr>
          <w:t>https://edpb.europa.eu/sites/edpb/files/files/file1/201902_edpb_statementonelections_fi.pdf</w:t>
        </w:r>
      </w:hyperlink>
      <w:r>
        <w:t xml:space="preserve"> </w:t>
      </w:r>
    </w:p>
  </w:footnote>
  <w:footnote w:id="87">
    <w:p w:rsidR="005B393D" w:rsidRDefault="000A69F4">
      <w:pPr>
        <w:pStyle w:val="FootnoteText"/>
      </w:pPr>
      <w:r>
        <w:rPr>
          <w:rStyle w:val="FootnoteReference"/>
        </w:rPr>
        <w:footnoteRef/>
      </w:r>
      <w:r>
        <w:t xml:space="preserve"> Asetuksen 97 ar</w:t>
      </w:r>
      <w:r>
        <w:t>tikla.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93D" w:rsidRDefault="005B39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93D" w:rsidRDefault="005B393D">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93D" w:rsidRDefault="005B393D">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93D" w:rsidRDefault="005B393D">
    <w:pPr>
      <w:pStyle w:val="Header"/>
    </w:pPr>
  </w:p>
  <w:p w:rsidR="005B393D" w:rsidRDefault="005B393D"/>
  <w:p w:rsidR="005B393D" w:rsidRDefault="005B393D"/>
  <w:p w:rsidR="005B393D" w:rsidRDefault="005B393D"/>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93D" w:rsidRDefault="005B393D"/>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93D" w:rsidRDefault="005B39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635F4"/>
    <w:multiLevelType w:val="hybridMultilevel"/>
    <w:tmpl w:val="07083C5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8B1245"/>
    <w:multiLevelType w:val="hybridMultilevel"/>
    <w:tmpl w:val="37B69AEA"/>
    <w:lvl w:ilvl="0" w:tplc="0809000B">
      <w:start w:val="1"/>
      <w:numFmt w:val="bullet"/>
      <w:lvlText w:val=""/>
      <w:lvlJc w:val="left"/>
      <w:pPr>
        <w:ind w:left="1068" w:hanging="360"/>
      </w:pPr>
      <w:rPr>
        <w:rFonts w:ascii="Wingdings" w:hAnsi="Wingdings"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 w15:restartNumberingAfterBreak="0">
    <w:nsid w:val="0E3F43F7"/>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E5B7696"/>
    <w:multiLevelType w:val="hybridMultilevel"/>
    <w:tmpl w:val="8DDCC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4D2EEF"/>
    <w:multiLevelType w:val="multilevel"/>
    <w:tmpl w:val="7C8CAD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921B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AD1BFC"/>
    <w:multiLevelType w:val="hybridMultilevel"/>
    <w:tmpl w:val="9A426D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490A1D"/>
    <w:multiLevelType w:val="multilevel"/>
    <w:tmpl w:val="EE0836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65E4138"/>
    <w:multiLevelType w:val="multilevel"/>
    <w:tmpl w:val="5E1E370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86C18AE"/>
    <w:multiLevelType w:val="hybridMultilevel"/>
    <w:tmpl w:val="F1A4A94C"/>
    <w:lvl w:ilvl="0" w:tplc="080C0017">
      <w:start w:val="1"/>
      <w:numFmt w:val="lowerLetter"/>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0" w15:restartNumberingAfterBreak="0">
    <w:nsid w:val="18AF189F"/>
    <w:multiLevelType w:val="multilevel"/>
    <w:tmpl w:val="6EECC9A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8FC3334"/>
    <w:multiLevelType w:val="hybridMultilevel"/>
    <w:tmpl w:val="228CB9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B84AE4"/>
    <w:multiLevelType w:val="hybridMultilevel"/>
    <w:tmpl w:val="F8CC31B4"/>
    <w:lvl w:ilvl="0" w:tplc="8584A57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8E2A20"/>
    <w:multiLevelType w:val="hybridMultilevel"/>
    <w:tmpl w:val="F1A4A94C"/>
    <w:lvl w:ilvl="0" w:tplc="080C0017">
      <w:start w:val="1"/>
      <w:numFmt w:val="lowerLetter"/>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4" w15:restartNumberingAfterBreak="0">
    <w:nsid w:val="240515A6"/>
    <w:multiLevelType w:val="hybridMultilevel"/>
    <w:tmpl w:val="9A72B7AE"/>
    <w:lvl w:ilvl="0" w:tplc="19D206A0">
      <w:start w:val="2"/>
      <w:numFmt w:val="bullet"/>
      <w:lvlText w:val="•"/>
      <w:lvlJc w:val="left"/>
      <w:pPr>
        <w:ind w:left="1060" w:hanging="70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4285A5A"/>
    <w:multiLevelType w:val="hybridMultilevel"/>
    <w:tmpl w:val="056436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A931BC"/>
    <w:multiLevelType w:val="hybridMultilevel"/>
    <w:tmpl w:val="66A060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8017A16"/>
    <w:multiLevelType w:val="hybridMultilevel"/>
    <w:tmpl w:val="F61C1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97A7A87"/>
    <w:multiLevelType w:val="hybridMultilevel"/>
    <w:tmpl w:val="B29228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A924F7B"/>
    <w:multiLevelType w:val="hybridMultilevel"/>
    <w:tmpl w:val="E1529E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B8C45EB"/>
    <w:multiLevelType w:val="hybridMultilevel"/>
    <w:tmpl w:val="258E31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C30786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FCD7C90"/>
    <w:multiLevelType w:val="multilevel"/>
    <w:tmpl w:val="133AF02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301B37D8"/>
    <w:multiLevelType w:val="hybridMultilevel"/>
    <w:tmpl w:val="BE10FBE6"/>
    <w:lvl w:ilvl="0" w:tplc="37C6F8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06D036E"/>
    <w:multiLevelType w:val="hybridMultilevel"/>
    <w:tmpl w:val="90C08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C4125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3E75545"/>
    <w:multiLevelType w:val="hybridMultilevel"/>
    <w:tmpl w:val="E6E0CC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42657E3"/>
    <w:multiLevelType w:val="hybridMultilevel"/>
    <w:tmpl w:val="1AB284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7EB6681"/>
    <w:multiLevelType w:val="multilevel"/>
    <w:tmpl w:val="90B02A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3D8036B"/>
    <w:multiLevelType w:val="hybridMultilevel"/>
    <w:tmpl w:val="9724D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4BA5B09"/>
    <w:multiLevelType w:val="multilevel"/>
    <w:tmpl w:val="5CB276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4C61D1D"/>
    <w:multiLevelType w:val="hybridMultilevel"/>
    <w:tmpl w:val="4B44D734"/>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32" w15:restartNumberingAfterBreak="0">
    <w:nsid w:val="48FB0E3A"/>
    <w:multiLevelType w:val="multilevel"/>
    <w:tmpl w:val="26D067D0"/>
    <w:lvl w:ilvl="0">
      <w:start w:val="1"/>
      <w:numFmt w:val="decimal"/>
      <w:lvlText w:val="%1"/>
      <w:lvlJc w:val="left"/>
      <w:pPr>
        <w:ind w:left="432" w:hanging="432"/>
      </w:pPr>
      <w:rPr>
        <w:rFonts w:hint="default"/>
      </w:rPr>
    </w:lvl>
    <w:lvl w:ilvl="1">
      <w:start w:val="1"/>
      <w:numFmt w:val="decimal"/>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4E1677B9"/>
    <w:multiLevelType w:val="multilevel"/>
    <w:tmpl w:val="5FA0129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4EFB405B"/>
    <w:multiLevelType w:val="hybridMultilevel"/>
    <w:tmpl w:val="4ED25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FF663E5"/>
    <w:multiLevelType w:val="hybridMultilevel"/>
    <w:tmpl w:val="6B203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022D17"/>
    <w:multiLevelType w:val="hybridMultilevel"/>
    <w:tmpl w:val="06AAE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3A40601"/>
    <w:multiLevelType w:val="hybridMultilevel"/>
    <w:tmpl w:val="D9DE9584"/>
    <w:lvl w:ilvl="0" w:tplc="2A38FE92">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15:restartNumberingAfterBreak="0">
    <w:nsid w:val="57285F6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77D1BD0"/>
    <w:multiLevelType w:val="hybridMultilevel"/>
    <w:tmpl w:val="80AA5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849392F"/>
    <w:multiLevelType w:val="hybridMultilevel"/>
    <w:tmpl w:val="7BA4E3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DBC4BD6"/>
    <w:multiLevelType w:val="hybridMultilevel"/>
    <w:tmpl w:val="88A45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FEC22A6"/>
    <w:multiLevelType w:val="hybridMultilevel"/>
    <w:tmpl w:val="E618CDF0"/>
    <w:lvl w:ilvl="0" w:tplc="19D206A0">
      <w:start w:val="2"/>
      <w:numFmt w:val="bullet"/>
      <w:lvlText w:val="•"/>
      <w:lvlJc w:val="left"/>
      <w:pPr>
        <w:ind w:left="1060" w:hanging="700"/>
      </w:pPr>
      <w:rPr>
        <w:rFonts w:ascii="Times New Roman" w:eastAsiaTheme="minorHAns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1083D34"/>
    <w:multiLevelType w:val="hybridMultilevel"/>
    <w:tmpl w:val="4EC67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C787580"/>
    <w:multiLevelType w:val="hybridMultilevel"/>
    <w:tmpl w:val="1B96B1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6E3822F4"/>
    <w:multiLevelType w:val="hybridMultilevel"/>
    <w:tmpl w:val="43625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2201302"/>
    <w:multiLevelType w:val="hybridMultilevel"/>
    <w:tmpl w:val="E5187C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22E230E"/>
    <w:multiLevelType w:val="multilevel"/>
    <w:tmpl w:val="DAA0ECAC"/>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8" w15:restartNumberingAfterBreak="0">
    <w:nsid w:val="73DF7408"/>
    <w:multiLevelType w:val="multilevel"/>
    <w:tmpl w:val="6F52FB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76032A42"/>
    <w:multiLevelType w:val="multilevel"/>
    <w:tmpl w:val="BF387B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0" w15:restartNumberingAfterBreak="0">
    <w:nsid w:val="778800F6"/>
    <w:multiLevelType w:val="multilevel"/>
    <w:tmpl w:val="477264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77B53F81"/>
    <w:multiLevelType w:val="hybridMultilevel"/>
    <w:tmpl w:val="2C24C6F4"/>
    <w:lvl w:ilvl="0" w:tplc="8406592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A914F28"/>
    <w:multiLevelType w:val="hybridMultilevel"/>
    <w:tmpl w:val="ED184052"/>
    <w:lvl w:ilvl="0" w:tplc="040C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CDD72F2"/>
    <w:multiLevelType w:val="hybridMultilevel"/>
    <w:tmpl w:val="22C8AD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2"/>
  </w:num>
  <w:num w:numId="2">
    <w:abstractNumId w:val="44"/>
  </w:num>
  <w:num w:numId="3">
    <w:abstractNumId w:val="0"/>
  </w:num>
  <w:num w:numId="4">
    <w:abstractNumId w:val="11"/>
  </w:num>
  <w:num w:numId="5">
    <w:abstractNumId w:val="32"/>
  </w:num>
  <w:num w:numId="6">
    <w:abstractNumId w:val="20"/>
  </w:num>
  <w:num w:numId="7">
    <w:abstractNumId w:val="32"/>
  </w:num>
  <w:num w:numId="8">
    <w:abstractNumId w:val="15"/>
  </w:num>
  <w:num w:numId="9">
    <w:abstractNumId w:val="1"/>
  </w:num>
  <w:num w:numId="10">
    <w:abstractNumId w:val="31"/>
  </w:num>
  <w:num w:numId="11">
    <w:abstractNumId w:val="5"/>
  </w:num>
  <w:num w:numId="12">
    <w:abstractNumId w:val="2"/>
  </w:num>
  <w:num w:numId="13">
    <w:abstractNumId w:val="21"/>
  </w:num>
  <w:num w:numId="14">
    <w:abstractNumId w:val="21"/>
  </w:num>
  <w:num w:numId="15">
    <w:abstractNumId w:val="21"/>
  </w:num>
  <w:num w:numId="16">
    <w:abstractNumId w:val="21"/>
  </w:num>
  <w:num w:numId="17">
    <w:abstractNumId w:val="21"/>
  </w:num>
  <w:num w:numId="18">
    <w:abstractNumId w:val="8"/>
  </w:num>
  <w:num w:numId="19">
    <w:abstractNumId w:val="38"/>
  </w:num>
  <w:num w:numId="20">
    <w:abstractNumId w:val="25"/>
  </w:num>
  <w:num w:numId="21">
    <w:abstractNumId w:val="53"/>
  </w:num>
  <w:num w:numId="22">
    <w:abstractNumId w:val="50"/>
  </w:num>
  <w:num w:numId="23">
    <w:abstractNumId w:val="27"/>
  </w:num>
  <w:num w:numId="24">
    <w:abstractNumId w:val="35"/>
  </w:num>
  <w:num w:numId="25">
    <w:abstractNumId w:val="7"/>
  </w:num>
  <w:num w:numId="26">
    <w:abstractNumId w:val="18"/>
  </w:num>
  <w:num w:numId="27">
    <w:abstractNumId w:val="41"/>
  </w:num>
  <w:num w:numId="28">
    <w:abstractNumId w:val="39"/>
  </w:num>
  <w:num w:numId="29">
    <w:abstractNumId w:val="40"/>
  </w:num>
  <w:num w:numId="30">
    <w:abstractNumId w:val="3"/>
  </w:num>
  <w:num w:numId="31">
    <w:abstractNumId w:val="22"/>
  </w:num>
  <w:num w:numId="32">
    <w:abstractNumId w:val="22"/>
  </w:num>
  <w:num w:numId="33">
    <w:abstractNumId w:val="30"/>
  </w:num>
  <w:num w:numId="34">
    <w:abstractNumId w:val="48"/>
  </w:num>
  <w:num w:numId="35">
    <w:abstractNumId w:val="48"/>
  </w:num>
  <w:num w:numId="36">
    <w:abstractNumId w:val="48"/>
  </w:num>
  <w:num w:numId="37">
    <w:abstractNumId w:val="48"/>
  </w:num>
  <w:num w:numId="38">
    <w:abstractNumId w:val="48"/>
  </w:num>
  <w:num w:numId="39">
    <w:abstractNumId w:val="48"/>
  </w:num>
  <w:num w:numId="40">
    <w:abstractNumId w:val="22"/>
  </w:num>
  <w:num w:numId="41">
    <w:abstractNumId w:val="48"/>
  </w:num>
  <w:num w:numId="42">
    <w:abstractNumId w:val="48"/>
  </w:num>
  <w:num w:numId="43">
    <w:abstractNumId w:val="26"/>
  </w:num>
  <w:num w:numId="44">
    <w:abstractNumId w:val="6"/>
  </w:num>
  <w:num w:numId="45">
    <w:abstractNumId w:val="43"/>
  </w:num>
  <w:num w:numId="46">
    <w:abstractNumId w:val="29"/>
  </w:num>
  <w:num w:numId="47">
    <w:abstractNumId w:val="16"/>
  </w:num>
  <w:num w:numId="48">
    <w:abstractNumId w:val="14"/>
  </w:num>
  <w:num w:numId="49">
    <w:abstractNumId w:val="42"/>
  </w:num>
  <w:num w:numId="50">
    <w:abstractNumId w:val="52"/>
  </w:num>
  <w:num w:numId="51">
    <w:abstractNumId w:val="36"/>
  </w:num>
  <w:num w:numId="52">
    <w:abstractNumId w:val="45"/>
  </w:num>
  <w:num w:numId="53">
    <w:abstractNumId w:val="19"/>
  </w:num>
  <w:num w:numId="54">
    <w:abstractNumId w:val="34"/>
  </w:num>
  <w:num w:numId="55">
    <w:abstractNumId w:val="17"/>
  </w:num>
  <w:num w:numId="56">
    <w:abstractNumId w:val="4"/>
  </w:num>
  <w:num w:numId="57">
    <w:abstractNumId w:val="33"/>
  </w:num>
  <w:num w:numId="58">
    <w:abstractNumId w:val="10"/>
  </w:num>
  <w:num w:numId="59">
    <w:abstractNumId w:val="28"/>
  </w:num>
  <w:num w:numId="60">
    <w:abstractNumId w:val="47"/>
  </w:num>
  <w:num w:numId="61">
    <w:abstractNumId w:val="12"/>
  </w:num>
  <w:num w:numId="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3"/>
  </w:num>
  <w:num w:numId="64">
    <w:abstractNumId w:val="9"/>
  </w:num>
  <w:num w:numId="65">
    <w:abstractNumId w:val="24"/>
  </w:num>
  <w:num w:numId="66">
    <w:abstractNumId w:val="49"/>
  </w:num>
  <w:num w:numId="67">
    <w:abstractNumId w:val="49"/>
  </w:num>
  <w:num w:numId="68">
    <w:abstractNumId w:val="46"/>
  </w:num>
  <w:num w:numId="69">
    <w:abstractNumId w:val="37"/>
  </w:num>
  <w:num w:numId="70">
    <w:abstractNumId w:val="23"/>
  </w:num>
  <w:num w:numId="71">
    <w:abstractNumId w:val="5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SpellingErrors/>
  <w:hideGrammaticalErrors/>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IE" w:vendorID="64" w:dllVersion="6" w:nlCheck="1" w:checkStyle="1"/>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activeWritingStyle w:appName="MSWord" w:lang="en-IE" w:vendorID="64" w:dllVersion="131078" w:nlCheck="1" w:checkStyle="1"/>
  <w:activeWritingStyle w:appName="MSWord" w:lang="fi-FI" w:vendorID="64" w:dllVersion="131078" w:nlCheck="1" w:checkStyle="0"/>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1980B15-5C5F-43DD-ACB4-69B1AFBA417B"/>
    <w:docVar w:name="LW_COVERPAGE_TYPE" w:val="1"/>
    <w:docVar w:name="LW_CROSSREFERENCE" w:val="&lt;UNUSED&gt;"/>
    <w:docVar w:name="LW_DocType" w:val="NORMAL"/>
    <w:docVar w:name="LW_EMISSION" w:val="24.7.2019"/>
    <w:docVar w:name="LW_EMISSION_ISODATE" w:val="2019-07-24"/>
    <w:docVar w:name="LW_EMISSION_LOCATION" w:val="BRX"/>
    <w:docVar w:name="LW_EMISSION_PREFIX" w:val="Bryssel "/>
    <w:docVar w:name="LW_EMISSION_SUFFIX" w:val=" "/>
    <w:docVar w:name="LW_ID_DOCTYPE_NONLW" w:val="CP-012"/>
    <w:docVar w:name="LW_LANGUE" w:val="FI"/>
    <w:docVar w:name="LW_LEVEL_OF_SENSITIVITY" w:val="Standard treatment"/>
    <w:docVar w:name="LW_NOM.INST" w:val="EUROOPAN KOMISSIO"/>
    <w:docVar w:name="LW_NOM.INST_JOINTDOC" w:val="&lt;EMPTY&gt;"/>
    <w:docVar w:name="LW_PART_NBR" w:val="1"/>
    <w:docVar w:name="LW_PART_NBR_TOTAL" w:val="1"/>
    <w:docVar w:name="LW_REF.INST.NEW" w:val="COM"/>
    <w:docVar w:name="LW_REF.INST.NEW_ADOPTED" w:val="final"/>
    <w:docVar w:name="LW_REF.INST.NEW_TEXT" w:val="(2019) 37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Tietosuojasäännöt luottamuksen rakentajana EU:ssa ja sen ulkopuolella \u8211? tilannekatsaus&lt;/FMT&gt;_x000d__x000d__x000d__x000d__x000d__x000d__x000d__x000b_"/>
    <w:docVar w:name="LW_TYPE.DOC.CP" w:val="KOMISSION TIEDONANTO EUROOPAN PARLAMENTILLE JA NEUVOSTOLLE"/>
    <w:docVar w:name="LW_TYPE.DOC.CP.USERTEXT" w:val="&lt;EMPTY&gt;"/>
  </w:docVars>
  <w:rsids>
    <w:rsidRoot w:val="005B393D"/>
    <w:rsid w:val="000A69F4"/>
    <w:rsid w:val="005B393D"/>
  </w:rsid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1479A1D9-F76B-4A59-B16A-C0ED810C2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Times New Roman" w:hAnsi="Times New Roman" w:cs="Times New Roman"/>
      <w:sz w:val="24"/>
      <w:szCs w:val="24"/>
    </w:rPr>
  </w:style>
  <w:style w:type="paragraph" w:styleId="Heading1">
    <w:name w:val="heading 1"/>
    <w:basedOn w:val="Normal"/>
    <w:link w:val="Heading1Char"/>
    <w:uiPriority w:val="9"/>
    <w:qFormat/>
    <w:pPr>
      <w:spacing w:before="480" w:after="240" w:line="288" w:lineRule="auto"/>
      <w:outlineLvl w:val="0"/>
    </w:pPr>
    <w:rPr>
      <w:rFonts w:ascii="Times New Roman Bold" w:hAnsi="Times New Roman Bold"/>
      <w:b/>
      <w:lang w:eastAsia="ja-JP" w:bidi="fr-FR"/>
    </w:rPr>
  </w:style>
  <w:style w:type="paragraph" w:styleId="Heading2">
    <w:name w:val="heading 2"/>
    <w:basedOn w:val="Normal"/>
    <w:link w:val="Heading2Char"/>
    <w:autoRedefine/>
    <w:uiPriority w:val="9"/>
    <w:unhideWhenUsed/>
    <w:qFormat/>
    <w:pPr>
      <w:numPr>
        <w:ilvl w:val="1"/>
        <w:numId w:val="60"/>
      </w:numPr>
      <w:spacing w:before="240" w:after="240" w:line="288" w:lineRule="auto"/>
      <w:ind w:left="578" w:hanging="578"/>
      <w:outlineLvl w:val="1"/>
    </w:pPr>
    <w:rPr>
      <w:rFonts w:eastAsiaTheme="majorEastAsia"/>
      <w:b/>
      <w:lang w:eastAsia="ja-JP" w:bidi="fr-FR"/>
    </w:rPr>
  </w:style>
  <w:style w:type="paragraph" w:styleId="Heading3">
    <w:name w:val="heading 3"/>
    <w:basedOn w:val="Normal"/>
    <w:link w:val="Heading3Char"/>
    <w:uiPriority w:val="9"/>
    <w:unhideWhenUsed/>
    <w:qFormat/>
    <w:pPr>
      <w:spacing w:before="240" w:line="288" w:lineRule="auto"/>
      <w:outlineLvl w:val="2"/>
    </w:pPr>
    <w:rPr>
      <w:i/>
    </w:rPr>
  </w:style>
  <w:style w:type="paragraph" w:styleId="Heading4">
    <w:name w:val="heading 4"/>
    <w:basedOn w:val="Normal"/>
    <w:link w:val="Heading4Char"/>
    <w:uiPriority w:val="9"/>
    <w:semiHidden/>
    <w:unhideWhenUsed/>
    <w:qFormat/>
    <w:pPr>
      <w:numPr>
        <w:ilvl w:val="3"/>
        <w:numId w:val="60"/>
      </w:numPr>
      <w:spacing w:before="40" w:after="0" w:line="288" w:lineRule="auto"/>
      <w:outlineLvl w:val="3"/>
    </w:pPr>
    <w:rPr>
      <w:rFonts w:asciiTheme="majorHAnsi" w:eastAsiaTheme="majorEastAsia" w:hAnsiTheme="majorHAnsi" w:cstheme="majorBidi"/>
      <w:i/>
      <w:iCs/>
      <w:color w:val="4F81BD" w:themeColor="accent1"/>
      <w:spacing w:val="6"/>
      <w:lang w:eastAsia="ja-JP" w:bidi="fr-FR"/>
    </w:rPr>
  </w:style>
  <w:style w:type="paragraph" w:styleId="Heading5">
    <w:name w:val="heading 5"/>
    <w:basedOn w:val="Normal"/>
    <w:link w:val="Heading5Char"/>
    <w:uiPriority w:val="9"/>
    <w:semiHidden/>
    <w:unhideWhenUsed/>
    <w:qFormat/>
    <w:pPr>
      <w:numPr>
        <w:ilvl w:val="4"/>
        <w:numId w:val="60"/>
      </w:numPr>
      <w:spacing w:before="40" w:after="0" w:line="288" w:lineRule="auto"/>
      <w:outlineLvl w:val="4"/>
    </w:pPr>
    <w:rPr>
      <w:rFonts w:asciiTheme="majorHAnsi" w:eastAsiaTheme="majorEastAsia" w:hAnsiTheme="majorHAnsi" w:cstheme="majorBidi"/>
      <w:i/>
      <w:color w:val="C0504D" w:themeColor="accent2"/>
      <w:spacing w:val="6"/>
      <w:lang w:eastAsia="ja-JP" w:bidi="fr-FR"/>
    </w:rPr>
  </w:style>
  <w:style w:type="paragraph" w:styleId="Heading6">
    <w:name w:val="heading 6"/>
    <w:basedOn w:val="Normal"/>
    <w:link w:val="Heading6Char"/>
    <w:uiPriority w:val="9"/>
    <w:semiHidden/>
    <w:unhideWhenUsed/>
    <w:qFormat/>
    <w:pPr>
      <w:numPr>
        <w:ilvl w:val="5"/>
        <w:numId w:val="60"/>
      </w:numPr>
      <w:spacing w:before="40" w:after="0" w:line="288" w:lineRule="auto"/>
      <w:outlineLvl w:val="5"/>
    </w:pPr>
    <w:rPr>
      <w:rFonts w:asciiTheme="majorHAnsi" w:eastAsiaTheme="majorEastAsia" w:hAnsiTheme="majorHAnsi" w:cstheme="majorBidi"/>
      <w:color w:val="C0504D" w:themeColor="accent2"/>
      <w:spacing w:val="12"/>
      <w:lang w:eastAsia="ja-JP" w:bidi="fr-FR"/>
    </w:rPr>
  </w:style>
  <w:style w:type="paragraph" w:styleId="Heading7">
    <w:name w:val="heading 7"/>
    <w:basedOn w:val="Normal"/>
    <w:link w:val="Heading7Char"/>
    <w:uiPriority w:val="9"/>
    <w:semiHidden/>
    <w:unhideWhenUsed/>
    <w:qFormat/>
    <w:pPr>
      <w:numPr>
        <w:ilvl w:val="6"/>
        <w:numId w:val="60"/>
      </w:numPr>
      <w:spacing w:before="40" w:after="0" w:line="288" w:lineRule="auto"/>
      <w:outlineLvl w:val="6"/>
    </w:pPr>
    <w:rPr>
      <w:rFonts w:asciiTheme="majorHAnsi" w:eastAsiaTheme="majorEastAsia" w:hAnsiTheme="majorHAnsi" w:cstheme="majorBidi"/>
      <w:iCs/>
      <w:color w:val="C0504D" w:themeColor="accent2"/>
      <w:lang w:eastAsia="ja-JP" w:bidi="fr-FR"/>
    </w:rPr>
  </w:style>
  <w:style w:type="paragraph" w:styleId="Heading8">
    <w:name w:val="heading 8"/>
    <w:basedOn w:val="Normal"/>
    <w:link w:val="Heading8Char"/>
    <w:uiPriority w:val="9"/>
    <w:semiHidden/>
    <w:unhideWhenUsed/>
    <w:qFormat/>
    <w:pPr>
      <w:numPr>
        <w:ilvl w:val="7"/>
        <w:numId w:val="60"/>
      </w:numPr>
      <w:spacing w:before="40" w:after="0" w:line="288" w:lineRule="auto"/>
      <w:outlineLvl w:val="7"/>
    </w:pPr>
    <w:rPr>
      <w:rFonts w:asciiTheme="majorHAnsi" w:eastAsiaTheme="majorEastAsia" w:hAnsiTheme="majorHAnsi" w:cstheme="majorBidi"/>
      <w:i/>
      <w:color w:val="CF7B79" w:themeColor="accent2" w:themeTint="BF"/>
      <w:szCs w:val="21"/>
      <w:lang w:eastAsia="ja-JP" w:bidi="fr-FR"/>
    </w:rPr>
  </w:style>
  <w:style w:type="paragraph" w:styleId="Heading9">
    <w:name w:val="heading 9"/>
    <w:basedOn w:val="Normal"/>
    <w:link w:val="Heading9Char"/>
    <w:uiPriority w:val="9"/>
    <w:semiHidden/>
    <w:unhideWhenUsed/>
    <w:qFormat/>
    <w:pPr>
      <w:numPr>
        <w:ilvl w:val="8"/>
        <w:numId w:val="60"/>
      </w:numPr>
      <w:spacing w:before="40" w:after="0" w:line="288" w:lineRule="auto"/>
      <w:outlineLvl w:val="8"/>
    </w:pPr>
    <w:rPr>
      <w:rFonts w:asciiTheme="majorHAnsi" w:eastAsiaTheme="majorEastAsia" w:hAnsiTheme="majorHAnsi" w:cstheme="majorBidi"/>
      <w:iCs/>
      <w:color w:val="CF7B79" w:themeColor="accent2" w:themeTint="BF"/>
      <w:szCs w:val="21"/>
      <w:lang w:eastAsia="ja-JP" w:bidi="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Bold" w:hAnsi="Times New Roman Bold" w:cs="Times New Roman"/>
      <w:b/>
      <w:sz w:val="24"/>
      <w:szCs w:val="24"/>
      <w:lang w:val="fi-FI" w:eastAsia="ja-JP" w:bidi="fr-FR"/>
    </w:rPr>
  </w:style>
  <w:style w:type="character" w:customStyle="1" w:styleId="Heading2Char">
    <w:name w:val="Heading 2 Char"/>
    <w:basedOn w:val="DefaultParagraphFont"/>
    <w:link w:val="Heading2"/>
    <w:uiPriority w:val="9"/>
    <w:rPr>
      <w:rFonts w:ascii="Times New Roman" w:eastAsiaTheme="majorEastAsia" w:hAnsi="Times New Roman" w:cs="Times New Roman"/>
      <w:b/>
      <w:sz w:val="24"/>
      <w:szCs w:val="24"/>
      <w:lang w:val="fi-FI" w:eastAsia="ja-JP" w:bidi="fr-FR"/>
    </w:rPr>
  </w:style>
  <w:style w:type="character" w:customStyle="1" w:styleId="Heading3Char">
    <w:name w:val="Heading 3 Char"/>
    <w:basedOn w:val="DefaultParagraphFont"/>
    <w:link w:val="Heading3"/>
    <w:uiPriority w:val="9"/>
    <w:rPr>
      <w:rFonts w:ascii="Times New Roman" w:hAnsi="Times New Roman" w:cs="Times New Roman"/>
      <w:i/>
      <w:sz w:val="24"/>
      <w:szCs w:val="24"/>
      <w:lang w:val="fi-FI"/>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F81BD" w:themeColor="accent1"/>
      <w:spacing w:val="6"/>
      <w:lang w:val="fi-FI" w:eastAsia="ja-JP" w:bidi="fr-FR"/>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C0504D" w:themeColor="accent2"/>
      <w:spacing w:val="6"/>
      <w:lang w:val="fi-FI" w:eastAsia="ja-JP" w:bidi="fr-FR"/>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C0504D" w:themeColor="accent2"/>
      <w:spacing w:val="12"/>
      <w:lang w:val="fi-FI" w:eastAsia="ja-JP" w:bidi="fr-FR"/>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C0504D" w:themeColor="accent2"/>
      <w:lang w:val="fi-FI" w:eastAsia="ja-JP" w:bidi="fr-FR"/>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CF7B79" w:themeColor="accent2" w:themeTint="BF"/>
      <w:szCs w:val="21"/>
      <w:lang w:val="fi-FI" w:eastAsia="ja-JP" w:bidi="fr-FR"/>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CF7B79" w:themeColor="accent2" w:themeTint="BF"/>
      <w:szCs w:val="21"/>
      <w:lang w:val="fi-FI" w:eastAsia="ja-JP" w:bidi="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qFormat/>
    <w:pPr>
      <w:spacing w:after="120" w:line="240" w:lineRule="auto"/>
      <w:ind w:left="360"/>
    </w:pPr>
    <w:rPr>
      <w:rFonts w:ascii="Tahoma" w:hAnsi="Tahoma"/>
      <w:sz w:val="28"/>
      <w:szCs w:val="20"/>
      <w:lang w:eastAsia="ja-JP" w:bidi="fr-FR"/>
    </w:rPr>
  </w:style>
  <w:style w:type="character" w:customStyle="1" w:styleId="CommentTextChar">
    <w:name w:val="Comment Text Char"/>
    <w:basedOn w:val="DefaultParagraphFont"/>
    <w:link w:val="CommentText"/>
    <w:uiPriority w:val="99"/>
    <w:rPr>
      <w:rFonts w:ascii="Tahoma" w:hAnsi="Tahoma" w:cs="Times New Roman"/>
      <w:sz w:val="28"/>
      <w:szCs w:val="20"/>
      <w:lang w:val="fi-FI" w:eastAsia="ja-JP" w:bidi="fr-FR"/>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200"/>
      <w:ind w:left="0"/>
    </w:pPr>
    <w:rPr>
      <w:b/>
      <w:bCs/>
      <w:lang w:eastAsia="en-US" w:bidi="ar-SA"/>
    </w:rPr>
  </w:style>
  <w:style w:type="character" w:customStyle="1" w:styleId="CommentSubjectChar">
    <w:name w:val="Comment Subject Char"/>
    <w:basedOn w:val="CommentTextChar"/>
    <w:link w:val="CommentSubject"/>
    <w:uiPriority w:val="99"/>
    <w:semiHidden/>
    <w:rPr>
      <w:rFonts w:ascii="Tahoma" w:hAnsi="Tahoma" w:cs="Times New Roman"/>
      <w:b/>
      <w:bCs/>
      <w:color w:val="4F81BD" w:themeColor="accent1"/>
      <w:sz w:val="20"/>
      <w:szCs w:val="20"/>
      <w:lang w:val="fi-FI" w:eastAsia="ja-JP" w:bidi="fr-FR"/>
    </w:rPr>
  </w:style>
  <w:style w:type="paragraph" w:styleId="FootnoteText">
    <w:name w:val="footnote text"/>
    <w:basedOn w:val="Normal"/>
    <w:uiPriority w:val="99"/>
    <w:unhideWhenUsed/>
    <w:pPr>
      <w:tabs>
        <w:tab w:val="left" w:pos="360"/>
      </w:tabs>
      <w:spacing w:after="0" w:line="240" w:lineRule="auto"/>
      <w:ind w:left="360" w:hanging="360"/>
    </w:pPr>
    <w:rPr>
      <w:sz w:val="20"/>
      <w:szCs w:val="20"/>
    </w:rPr>
  </w:style>
  <w:style w:type="character" w:customStyle="1" w:styleId="FootnoteTextChar">
    <w:name w:val="Footnote Text Char"/>
    <w:basedOn w:val="DefaultParagraphFont"/>
    <w:uiPriority w:val="99"/>
    <w:rPr>
      <w:rFonts w:ascii="Times New Roman" w:hAnsi="Times New Roman" w:cs="Times New Roman"/>
      <w:sz w:val="20"/>
      <w:szCs w:val="20"/>
      <w:lang w:val="fi-FI"/>
    </w:rPr>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qFormat/>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 w:type="paragraph" w:customStyle="1" w:styleId="Text1">
    <w:name w:val="Text 1"/>
    <w:basedOn w:val="Normal"/>
    <w:pPr>
      <w:spacing w:before="120" w:after="120" w:line="240" w:lineRule="auto"/>
      <w:ind w:left="850"/>
    </w:pPr>
    <w:rPr>
      <w:rFonts w:eastAsia="Times New Roman"/>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szCs w:val="24"/>
    </w:rPr>
  </w:style>
  <w:style w:type="paragraph" w:customStyle="1" w:styleId="HeaderCoverPage">
    <w:name w:val="Header Cover Page"/>
    <w:basedOn w:val="Normal"/>
    <w:link w:val="HeaderCoverPageChar"/>
    <w:pPr>
      <w:tabs>
        <w:tab w:val="center" w:pos="4535"/>
        <w:tab w:val="right" w:pos="9071"/>
      </w:tabs>
      <w:spacing w:after="120" w:line="240" w:lineRule="auto"/>
    </w:p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szCs w:val="24"/>
    </w:rPr>
  </w:style>
  <w:style w:type="character" w:styleId="PageNumber">
    <w:name w:val="page number"/>
    <w:basedOn w:val="DefaultParagraphFont"/>
    <w:uiPriority w:val="99"/>
    <w:semiHidden/>
    <w:unhideWhenUsed/>
  </w:style>
  <w:style w:type="paragraph" w:styleId="DocumentMap">
    <w:name w:val="Document Map"/>
    <w:basedOn w:val="Normal"/>
    <w:link w:val="DocumentMapChar"/>
    <w:uiPriority w:val="99"/>
    <w:semiHidden/>
    <w:unhideWhenUsed/>
    <w:pPr>
      <w:spacing w:after="0" w:line="240" w:lineRule="auto"/>
    </w:pPr>
  </w:style>
  <w:style w:type="character" w:customStyle="1" w:styleId="DocumentMapChar">
    <w:name w:val="Document Map Char"/>
    <w:basedOn w:val="DefaultParagraphFont"/>
    <w:link w:val="DocumentMap"/>
    <w:uiPriority w:val="99"/>
    <w:semiHidden/>
    <w:rPr>
      <w:rFonts w:ascii="Times New Roman" w:hAnsi="Times New Roman" w:cs="Times New Roman"/>
      <w:sz w:val="24"/>
      <w:szCs w:val="24"/>
      <w:lang w:val="fi-FI"/>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apple-converted-space">
    <w:name w:val="apple-converted-space"/>
    <w:basedOn w:val="DefaultParagraphFont"/>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i-FI"/>
    </w:rPr>
  </w:style>
  <w:style w:type="character" w:styleId="EndnoteReference">
    <w:name w:val="endnote reference"/>
    <w:basedOn w:val="DefaultParagraphFont"/>
    <w:uiPriority w:val="99"/>
    <w:semiHidden/>
    <w:unhideWhenUsed/>
    <w:rPr>
      <w:vertAlign w:val="superscript"/>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customStyle="1" w:styleId="SecurityMarking">
    <w:name w:val="SecurityMarking"/>
    <w:basedOn w:val="Normal"/>
    <w:pPr>
      <w:spacing w:after="0"/>
      <w:ind w:left="5103"/>
      <w:jc w:val="left"/>
    </w:pPr>
    <w:rPr>
      <w:sz w:val="28"/>
      <w:szCs w:val="22"/>
    </w:rPr>
  </w:style>
  <w:style w:type="paragraph" w:customStyle="1" w:styleId="DateMarking">
    <w:name w:val="DateMarking"/>
    <w:basedOn w:val="Normal"/>
    <w:pPr>
      <w:spacing w:after="0"/>
      <w:ind w:left="5103"/>
      <w:jc w:val="left"/>
    </w:pPr>
    <w:rPr>
      <w:i/>
      <w:sz w:val="28"/>
      <w:szCs w:val="22"/>
    </w:rPr>
  </w:style>
  <w:style w:type="paragraph" w:customStyle="1" w:styleId="ReleasableTo">
    <w:name w:val="ReleasableTo"/>
    <w:basedOn w:val="Normal"/>
    <w:pPr>
      <w:spacing w:after="0"/>
      <w:ind w:left="5103"/>
      <w:jc w:val="left"/>
    </w:pPr>
    <w:rPr>
      <w:i/>
      <w:sz w:val="28"/>
      <w:szCs w:val="22"/>
    </w:rPr>
  </w:style>
  <w:style w:type="paragraph" w:customStyle="1" w:styleId="HeaderSensitivityRight">
    <w:name w:val="Header Sensitivity Right"/>
    <w:basedOn w:val="Normal"/>
    <w:pPr>
      <w:spacing w:after="120" w:line="240" w:lineRule="auto"/>
      <w:jc w:val="righ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05926">
      <w:bodyDiv w:val="1"/>
      <w:marLeft w:val="0"/>
      <w:marRight w:val="0"/>
      <w:marTop w:val="0"/>
      <w:marBottom w:val="0"/>
      <w:divBdr>
        <w:top w:val="none" w:sz="0" w:space="0" w:color="auto"/>
        <w:left w:val="none" w:sz="0" w:space="0" w:color="auto"/>
        <w:bottom w:val="none" w:sz="0" w:space="0" w:color="auto"/>
        <w:right w:val="none" w:sz="0" w:space="0" w:color="auto"/>
      </w:divBdr>
    </w:div>
    <w:div w:id="77486806">
      <w:bodyDiv w:val="1"/>
      <w:marLeft w:val="0"/>
      <w:marRight w:val="0"/>
      <w:marTop w:val="0"/>
      <w:marBottom w:val="0"/>
      <w:divBdr>
        <w:top w:val="none" w:sz="0" w:space="0" w:color="auto"/>
        <w:left w:val="none" w:sz="0" w:space="0" w:color="auto"/>
        <w:bottom w:val="none" w:sz="0" w:space="0" w:color="auto"/>
        <w:right w:val="none" w:sz="0" w:space="0" w:color="auto"/>
      </w:divBdr>
    </w:div>
    <w:div w:id="181819542">
      <w:bodyDiv w:val="1"/>
      <w:marLeft w:val="0"/>
      <w:marRight w:val="0"/>
      <w:marTop w:val="0"/>
      <w:marBottom w:val="0"/>
      <w:divBdr>
        <w:top w:val="none" w:sz="0" w:space="0" w:color="auto"/>
        <w:left w:val="none" w:sz="0" w:space="0" w:color="auto"/>
        <w:bottom w:val="none" w:sz="0" w:space="0" w:color="auto"/>
        <w:right w:val="none" w:sz="0" w:space="0" w:color="auto"/>
      </w:divBdr>
    </w:div>
    <w:div w:id="224804641">
      <w:bodyDiv w:val="1"/>
      <w:marLeft w:val="0"/>
      <w:marRight w:val="0"/>
      <w:marTop w:val="0"/>
      <w:marBottom w:val="0"/>
      <w:divBdr>
        <w:top w:val="none" w:sz="0" w:space="0" w:color="auto"/>
        <w:left w:val="none" w:sz="0" w:space="0" w:color="auto"/>
        <w:bottom w:val="none" w:sz="0" w:space="0" w:color="auto"/>
        <w:right w:val="none" w:sz="0" w:space="0" w:color="auto"/>
      </w:divBdr>
    </w:div>
    <w:div w:id="284847972">
      <w:bodyDiv w:val="1"/>
      <w:marLeft w:val="0"/>
      <w:marRight w:val="0"/>
      <w:marTop w:val="0"/>
      <w:marBottom w:val="0"/>
      <w:divBdr>
        <w:top w:val="none" w:sz="0" w:space="0" w:color="auto"/>
        <w:left w:val="none" w:sz="0" w:space="0" w:color="auto"/>
        <w:bottom w:val="none" w:sz="0" w:space="0" w:color="auto"/>
        <w:right w:val="none" w:sz="0" w:space="0" w:color="auto"/>
      </w:divBdr>
    </w:div>
    <w:div w:id="294722850">
      <w:bodyDiv w:val="1"/>
      <w:marLeft w:val="0"/>
      <w:marRight w:val="0"/>
      <w:marTop w:val="0"/>
      <w:marBottom w:val="0"/>
      <w:divBdr>
        <w:top w:val="none" w:sz="0" w:space="0" w:color="auto"/>
        <w:left w:val="none" w:sz="0" w:space="0" w:color="auto"/>
        <w:bottom w:val="none" w:sz="0" w:space="0" w:color="auto"/>
        <w:right w:val="none" w:sz="0" w:space="0" w:color="auto"/>
      </w:divBdr>
    </w:div>
    <w:div w:id="304050617">
      <w:bodyDiv w:val="1"/>
      <w:marLeft w:val="0"/>
      <w:marRight w:val="0"/>
      <w:marTop w:val="0"/>
      <w:marBottom w:val="0"/>
      <w:divBdr>
        <w:top w:val="none" w:sz="0" w:space="0" w:color="auto"/>
        <w:left w:val="none" w:sz="0" w:space="0" w:color="auto"/>
        <w:bottom w:val="none" w:sz="0" w:space="0" w:color="auto"/>
        <w:right w:val="none" w:sz="0" w:space="0" w:color="auto"/>
      </w:divBdr>
    </w:div>
    <w:div w:id="427702114">
      <w:bodyDiv w:val="1"/>
      <w:marLeft w:val="0"/>
      <w:marRight w:val="0"/>
      <w:marTop w:val="0"/>
      <w:marBottom w:val="0"/>
      <w:divBdr>
        <w:top w:val="none" w:sz="0" w:space="0" w:color="auto"/>
        <w:left w:val="none" w:sz="0" w:space="0" w:color="auto"/>
        <w:bottom w:val="none" w:sz="0" w:space="0" w:color="auto"/>
        <w:right w:val="none" w:sz="0" w:space="0" w:color="auto"/>
      </w:divBdr>
    </w:div>
    <w:div w:id="441151104">
      <w:bodyDiv w:val="1"/>
      <w:marLeft w:val="0"/>
      <w:marRight w:val="0"/>
      <w:marTop w:val="0"/>
      <w:marBottom w:val="0"/>
      <w:divBdr>
        <w:top w:val="none" w:sz="0" w:space="0" w:color="auto"/>
        <w:left w:val="none" w:sz="0" w:space="0" w:color="auto"/>
        <w:bottom w:val="none" w:sz="0" w:space="0" w:color="auto"/>
        <w:right w:val="none" w:sz="0" w:space="0" w:color="auto"/>
      </w:divBdr>
    </w:div>
    <w:div w:id="441848014">
      <w:bodyDiv w:val="1"/>
      <w:marLeft w:val="0"/>
      <w:marRight w:val="0"/>
      <w:marTop w:val="0"/>
      <w:marBottom w:val="0"/>
      <w:divBdr>
        <w:top w:val="none" w:sz="0" w:space="0" w:color="auto"/>
        <w:left w:val="none" w:sz="0" w:space="0" w:color="auto"/>
        <w:bottom w:val="none" w:sz="0" w:space="0" w:color="auto"/>
        <w:right w:val="none" w:sz="0" w:space="0" w:color="auto"/>
      </w:divBdr>
    </w:div>
    <w:div w:id="565533955">
      <w:bodyDiv w:val="1"/>
      <w:marLeft w:val="0"/>
      <w:marRight w:val="0"/>
      <w:marTop w:val="0"/>
      <w:marBottom w:val="0"/>
      <w:divBdr>
        <w:top w:val="none" w:sz="0" w:space="0" w:color="auto"/>
        <w:left w:val="none" w:sz="0" w:space="0" w:color="auto"/>
        <w:bottom w:val="none" w:sz="0" w:space="0" w:color="auto"/>
        <w:right w:val="none" w:sz="0" w:space="0" w:color="auto"/>
      </w:divBdr>
    </w:div>
    <w:div w:id="590048860">
      <w:bodyDiv w:val="1"/>
      <w:marLeft w:val="0"/>
      <w:marRight w:val="0"/>
      <w:marTop w:val="0"/>
      <w:marBottom w:val="0"/>
      <w:divBdr>
        <w:top w:val="none" w:sz="0" w:space="0" w:color="auto"/>
        <w:left w:val="none" w:sz="0" w:space="0" w:color="auto"/>
        <w:bottom w:val="none" w:sz="0" w:space="0" w:color="auto"/>
        <w:right w:val="none" w:sz="0" w:space="0" w:color="auto"/>
      </w:divBdr>
    </w:div>
    <w:div w:id="593365813">
      <w:bodyDiv w:val="1"/>
      <w:marLeft w:val="0"/>
      <w:marRight w:val="0"/>
      <w:marTop w:val="0"/>
      <w:marBottom w:val="0"/>
      <w:divBdr>
        <w:top w:val="none" w:sz="0" w:space="0" w:color="auto"/>
        <w:left w:val="none" w:sz="0" w:space="0" w:color="auto"/>
        <w:bottom w:val="none" w:sz="0" w:space="0" w:color="auto"/>
        <w:right w:val="none" w:sz="0" w:space="0" w:color="auto"/>
      </w:divBdr>
    </w:div>
    <w:div w:id="681931973">
      <w:bodyDiv w:val="1"/>
      <w:marLeft w:val="0"/>
      <w:marRight w:val="0"/>
      <w:marTop w:val="0"/>
      <w:marBottom w:val="0"/>
      <w:divBdr>
        <w:top w:val="none" w:sz="0" w:space="0" w:color="auto"/>
        <w:left w:val="none" w:sz="0" w:space="0" w:color="auto"/>
        <w:bottom w:val="none" w:sz="0" w:space="0" w:color="auto"/>
        <w:right w:val="none" w:sz="0" w:space="0" w:color="auto"/>
      </w:divBdr>
    </w:div>
    <w:div w:id="768309892">
      <w:bodyDiv w:val="1"/>
      <w:marLeft w:val="0"/>
      <w:marRight w:val="0"/>
      <w:marTop w:val="0"/>
      <w:marBottom w:val="0"/>
      <w:divBdr>
        <w:top w:val="none" w:sz="0" w:space="0" w:color="auto"/>
        <w:left w:val="none" w:sz="0" w:space="0" w:color="auto"/>
        <w:bottom w:val="none" w:sz="0" w:space="0" w:color="auto"/>
        <w:right w:val="none" w:sz="0" w:space="0" w:color="auto"/>
      </w:divBdr>
    </w:div>
    <w:div w:id="788092185">
      <w:bodyDiv w:val="1"/>
      <w:marLeft w:val="0"/>
      <w:marRight w:val="0"/>
      <w:marTop w:val="0"/>
      <w:marBottom w:val="0"/>
      <w:divBdr>
        <w:top w:val="none" w:sz="0" w:space="0" w:color="auto"/>
        <w:left w:val="none" w:sz="0" w:space="0" w:color="auto"/>
        <w:bottom w:val="none" w:sz="0" w:space="0" w:color="auto"/>
        <w:right w:val="none" w:sz="0" w:space="0" w:color="auto"/>
      </w:divBdr>
    </w:div>
    <w:div w:id="793519351">
      <w:bodyDiv w:val="1"/>
      <w:marLeft w:val="0"/>
      <w:marRight w:val="0"/>
      <w:marTop w:val="0"/>
      <w:marBottom w:val="0"/>
      <w:divBdr>
        <w:top w:val="none" w:sz="0" w:space="0" w:color="auto"/>
        <w:left w:val="none" w:sz="0" w:space="0" w:color="auto"/>
        <w:bottom w:val="none" w:sz="0" w:space="0" w:color="auto"/>
        <w:right w:val="none" w:sz="0" w:space="0" w:color="auto"/>
      </w:divBdr>
    </w:div>
    <w:div w:id="802772944">
      <w:bodyDiv w:val="1"/>
      <w:marLeft w:val="0"/>
      <w:marRight w:val="0"/>
      <w:marTop w:val="0"/>
      <w:marBottom w:val="0"/>
      <w:divBdr>
        <w:top w:val="none" w:sz="0" w:space="0" w:color="auto"/>
        <w:left w:val="none" w:sz="0" w:space="0" w:color="auto"/>
        <w:bottom w:val="none" w:sz="0" w:space="0" w:color="auto"/>
        <w:right w:val="none" w:sz="0" w:space="0" w:color="auto"/>
      </w:divBdr>
    </w:div>
    <w:div w:id="808673659">
      <w:bodyDiv w:val="1"/>
      <w:marLeft w:val="0"/>
      <w:marRight w:val="0"/>
      <w:marTop w:val="0"/>
      <w:marBottom w:val="0"/>
      <w:divBdr>
        <w:top w:val="none" w:sz="0" w:space="0" w:color="auto"/>
        <w:left w:val="none" w:sz="0" w:space="0" w:color="auto"/>
        <w:bottom w:val="none" w:sz="0" w:space="0" w:color="auto"/>
        <w:right w:val="none" w:sz="0" w:space="0" w:color="auto"/>
      </w:divBdr>
    </w:div>
    <w:div w:id="810096725">
      <w:bodyDiv w:val="1"/>
      <w:marLeft w:val="0"/>
      <w:marRight w:val="0"/>
      <w:marTop w:val="0"/>
      <w:marBottom w:val="0"/>
      <w:divBdr>
        <w:top w:val="none" w:sz="0" w:space="0" w:color="auto"/>
        <w:left w:val="none" w:sz="0" w:space="0" w:color="auto"/>
        <w:bottom w:val="none" w:sz="0" w:space="0" w:color="auto"/>
        <w:right w:val="none" w:sz="0" w:space="0" w:color="auto"/>
      </w:divBdr>
      <w:divsChild>
        <w:div w:id="1733573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40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40278">
      <w:bodyDiv w:val="1"/>
      <w:marLeft w:val="0"/>
      <w:marRight w:val="0"/>
      <w:marTop w:val="0"/>
      <w:marBottom w:val="0"/>
      <w:divBdr>
        <w:top w:val="none" w:sz="0" w:space="0" w:color="auto"/>
        <w:left w:val="none" w:sz="0" w:space="0" w:color="auto"/>
        <w:bottom w:val="none" w:sz="0" w:space="0" w:color="auto"/>
        <w:right w:val="none" w:sz="0" w:space="0" w:color="auto"/>
      </w:divBdr>
    </w:div>
    <w:div w:id="890726130">
      <w:bodyDiv w:val="1"/>
      <w:marLeft w:val="0"/>
      <w:marRight w:val="0"/>
      <w:marTop w:val="0"/>
      <w:marBottom w:val="0"/>
      <w:divBdr>
        <w:top w:val="none" w:sz="0" w:space="0" w:color="auto"/>
        <w:left w:val="none" w:sz="0" w:space="0" w:color="auto"/>
        <w:bottom w:val="none" w:sz="0" w:space="0" w:color="auto"/>
        <w:right w:val="none" w:sz="0" w:space="0" w:color="auto"/>
      </w:divBdr>
    </w:div>
    <w:div w:id="1132360697">
      <w:bodyDiv w:val="1"/>
      <w:marLeft w:val="0"/>
      <w:marRight w:val="0"/>
      <w:marTop w:val="0"/>
      <w:marBottom w:val="0"/>
      <w:divBdr>
        <w:top w:val="none" w:sz="0" w:space="0" w:color="auto"/>
        <w:left w:val="none" w:sz="0" w:space="0" w:color="auto"/>
        <w:bottom w:val="none" w:sz="0" w:space="0" w:color="auto"/>
        <w:right w:val="none" w:sz="0" w:space="0" w:color="auto"/>
      </w:divBdr>
    </w:div>
    <w:div w:id="1165825034">
      <w:bodyDiv w:val="1"/>
      <w:marLeft w:val="0"/>
      <w:marRight w:val="0"/>
      <w:marTop w:val="0"/>
      <w:marBottom w:val="0"/>
      <w:divBdr>
        <w:top w:val="none" w:sz="0" w:space="0" w:color="auto"/>
        <w:left w:val="none" w:sz="0" w:space="0" w:color="auto"/>
        <w:bottom w:val="none" w:sz="0" w:space="0" w:color="auto"/>
        <w:right w:val="none" w:sz="0" w:space="0" w:color="auto"/>
      </w:divBdr>
    </w:div>
    <w:div w:id="1169753414">
      <w:bodyDiv w:val="1"/>
      <w:marLeft w:val="0"/>
      <w:marRight w:val="0"/>
      <w:marTop w:val="0"/>
      <w:marBottom w:val="0"/>
      <w:divBdr>
        <w:top w:val="none" w:sz="0" w:space="0" w:color="auto"/>
        <w:left w:val="none" w:sz="0" w:space="0" w:color="auto"/>
        <w:bottom w:val="none" w:sz="0" w:space="0" w:color="auto"/>
        <w:right w:val="none" w:sz="0" w:space="0" w:color="auto"/>
      </w:divBdr>
    </w:div>
    <w:div w:id="1175152288">
      <w:bodyDiv w:val="1"/>
      <w:marLeft w:val="0"/>
      <w:marRight w:val="0"/>
      <w:marTop w:val="0"/>
      <w:marBottom w:val="0"/>
      <w:divBdr>
        <w:top w:val="none" w:sz="0" w:space="0" w:color="auto"/>
        <w:left w:val="none" w:sz="0" w:space="0" w:color="auto"/>
        <w:bottom w:val="none" w:sz="0" w:space="0" w:color="auto"/>
        <w:right w:val="none" w:sz="0" w:space="0" w:color="auto"/>
      </w:divBdr>
    </w:div>
    <w:div w:id="1181435766">
      <w:bodyDiv w:val="1"/>
      <w:marLeft w:val="0"/>
      <w:marRight w:val="0"/>
      <w:marTop w:val="0"/>
      <w:marBottom w:val="0"/>
      <w:divBdr>
        <w:top w:val="none" w:sz="0" w:space="0" w:color="auto"/>
        <w:left w:val="none" w:sz="0" w:space="0" w:color="auto"/>
        <w:bottom w:val="none" w:sz="0" w:space="0" w:color="auto"/>
        <w:right w:val="none" w:sz="0" w:space="0" w:color="auto"/>
      </w:divBdr>
      <w:divsChild>
        <w:div w:id="283195134">
          <w:marLeft w:val="0"/>
          <w:marRight w:val="0"/>
          <w:marTop w:val="0"/>
          <w:marBottom w:val="0"/>
          <w:divBdr>
            <w:top w:val="none" w:sz="0" w:space="0" w:color="auto"/>
            <w:left w:val="single" w:sz="6" w:space="15" w:color="B4B4B4"/>
            <w:bottom w:val="single" w:sz="6" w:space="0" w:color="B4B4B4"/>
            <w:right w:val="single" w:sz="6" w:space="15" w:color="B4B4B4"/>
          </w:divBdr>
          <w:divsChild>
            <w:div w:id="1598753213">
              <w:marLeft w:val="0"/>
              <w:marRight w:val="0"/>
              <w:marTop w:val="0"/>
              <w:marBottom w:val="0"/>
              <w:divBdr>
                <w:top w:val="none" w:sz="0" w:space="0" w:color="auto"/>
                <w:left w:val="none" w:sz="0" w:space="0" w:color="auto"/>
                <w:bottom w:val="none" w:sz="0" w:space="0" w:color="auto"/>
                <w:right w:val="none" w:sz="0" w:space="0" w:color="auto"/>
              </w:divBdr>
              <w:divsChild>
                <w:div w:id="931158582">
                  <w:marLeft w:val="0"/>
                  <w:marRight w:val="0"/>
                  <w:marTop w:val="0"/>
                  <w:marBottom w:val="0"/>
                  <w:divBdr>
                    <w:top w:val="none" w:sz="0" w:space="0" w:color="auto"/>
                    <w:left w:val="none" w:sz="0" w:space="0" w:color="auto"/>
                    <w:bottom w:val="none" w:sz="0" w:space="0" w:color="auto"/>
                    <w:right w:val="none" w:sz="0" w:space="0" w:color="auto"/>
                  </w:divBdr>
                  <w:divsChild>
                    <w:div w:id="1560241617">
                      <w:marLeft w:val="-300"/>
                      <w:marRight w:val="0"/>
                      <w:marTop w:val="0"/>
                      <w:marBottom w:val="0"/>
                      <w:divBdr>
                        <w:top w:val="none" w:sz="0" w:space="0" w:color="auto"/>
                        <w:left w:val="none" w:sz="0" w:space="0" w:color="auto"/>
                        <w:bottom w:val="none" w:sz="0" w:space="0" w:color="auto"/>
                        <w:right w:val="none" w:sz="0" w:space="0" w:color="auto"/>
                      </w:divBdr>
                      <w:divsChild>
                        <w:div w:id="426275200">
                          <w:marLeft w:val="0"/>
                          <w:marRight w:val="0"/>
                          <w:marTop w:val="0"/>
                          <w:marBottom w:val="0"/>
                          <w:divBdr>
                            <w:top w:val="none" w:sz="0" w:space="0" w:color="auto"/>
                            <w:left w:val="none" w:sz="0" w:space="0" w:color="auto"/>
                            <w:bottom w:val="none" w:sz="0" w:space="0" w:color="auto"/>
                            <w:right w:val="none" w:sz="0" w:space="0" w:color="auto"/>
                          </w:divBdr>
                          <w:divsChild>
                            <w:div w:id="1359501516">
                              <w:marLeft w:val="-300"/>
                              <w:marRight w:val="0"/>
                              <w:marTop w:val="0"/>
                              <w:marBottom w:val="0"/>
                              <w:divBdr>
                                <w:top w:val="none" w:sz="0" w:space="0" w:color="auto"/>
                                <w:left w:val="none" w:sz="0" w:space="0" w:color="auto"/>
                                <w:bottom w:val="none" w:sz="0" w:space="0" w:color="auto"/>
                                <w:right w:val="none" w:sz="0" w:space="0" w:color="auto"/>
                              </w:divBdr>
                              <w:divsChild>
                                <w:div w:id="1642272898">
                                  <w:marLeft w:val="0"/>
                                  <w:marRight w:val="0"/>
                                  <w:marTop w:val="0"/>
                                  <w:marBottom w:val="0"/>
                                  <w:divBdr>
                                    <w:top w:val="none" w:sz="0" w:space="0" w:color="auto"/>
                                    <w:left w:val="none" w:sz="0" w:space="0" w:color="auto"/>
                                    <w:bottom w:val="none" w:sz="0" w:space="0" w:color="auto"/>
                                    <w:right w:val="none" w:sz="0" w:space="0" w:color="auto"/>
                                  </w:divBdr>
                                  <w:divsChild>
                                    <w:div w:id="1870024986">
                                      <w:marLeft w:val="0"/>
                                      <w:marRight w:val="0"/>
                                      <w:marTop w:val="0"/>
                                      <w:marBottom w:val="0"/>
                                      <w:divBdr>
                                        <w:top w:val="none" w:sz="0" w:space="0" w:color="auto"/>
                                        <w:left w:val="none" w:sz="0" w:space="0" w:color="auto"/>
                                        <w:bottom w:val="none" w:sz="0" w:space="0" w:color="auto"/>
                                        <w:right w:val="none" w:sz="0" w:space="0" w:color="auto"/>
                                      </w:divBdr>
                                      <w:divsChild>
                                        <w:div w:id="58359496">
                                          <w:marLeft w:val="-270"/>
                                          <w:marRight w:val="0"/>
                                          <w:marTop w:val="0"/>
                                          <w:marBottom w:val="0"/>
                                          <w:divBdr>
                                            <w:top w:val="none" w:sz="0" w:space="0" w:color="auto"/>
                                            <w:left w:val="none" w:sz="0" w:space="0" w:color="auto"/>
                                            <w:bottom w:val="none" w:sz="0" w:space="0" w:color="auto"/>
                                            <w:right w:val="none" w:sz="0" w:space="0" w:color="auto"/>
                                          </w:divBdr>
                                          <w:divsChild>
                                            <w:div w:id="1595942548">
                                              <w:marLeft w:val="0"/>
                                              <w:marRight w:val="0"/>
                                              <w:marTop w:val="0"/>
                                              <w:marBottom w:val="0"/>
                                              <w:divBdr>
                                                <w:top w:val="none" w:sz="0" w:space="0" w:color="auto"/>
                                                <w:left w:val="none" w:sz="0" w:space="0" w:color="auto"/>
                                                <w:bottom w:val="none" w:sz="0" w:space="0" w:color="auto"/>
                                                <w:right w:val="none" w:sz="0" w:space="0" w:color="auto"/>
                                              </w:divBdr>
                                              <w:divsChild>
                                                <w:div w:id="669672691">
                                                  <w:marLeft w:val="0"/>
                                                  <w:marRight w:val="0"/>
                                                  <w:marTop w:val="0"/>
                                                  <w:marBottom w:val="0"/>
                                                  <w:divBdr>
                                                    <w:top w:val="none" w:sz="0" w:space="0" w:color="auto"/>
                                                    <w:left w:val="none" w:sz="0" w:space="0" w:color="auto"/>
                                                    <w:bottom w:val="none" w:sz="0" w:space="0" w:color="auto"/>
                                                    <w:right w:val="none" w:sz="0" w:space="0" w:color="auto"/>
                                                  </w:divBdr>
                                                  <w:divsChild>
                                                    <w:div w:id="182100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8684280">
      <w:bodyDiv w:val="1"/>
      <w:marLeft w:val="0"/>
      <w:marRight w:val="0"/>
      <w:marTop w:val="0"/>
      <w:marBottom w:val="0"/>
      <w:divBdr>
        <w:top w:val="none" w:sz="0" w:space="0" w:color="auto"/>
        <w:left w:val="none" w:sz="0" w:space="0" w:color="auto"/>
        <w:bottom w:val="none" w:sz="0" w:space="0" w:color="auto"/>
        <w:right w:val="none" w:sz="0" w:space="0" w:color="auto"/>
      </w:divBdr>
    </w:div>
    <w:div w:id="1299185952">
      <w:bodyDiv w:val="1"/>
      <w:marLeft w:val="0"/>
      <w:marRight w:val="0"/>
      <w:marTop w:val="0"/>
      <w:marBottom w:val="0"/>
      <w:divBdr>
        <w:top w:val="none" w:sz="0" w:space="0" w:color="auto"/>
        <w:left w:val="none" w:sz="0" w:space="0" w:color="auto"/>
        <w:bottom w:val="none" w:sz="0" w:space="0" w:color="auto"/>
        <w:right w:val="none" w:sz="0" w:space="0" w:color="auto"/>
      </w:divBdr>
    </w:div>
    <w:div w:id="1364592355">
      <w:bodyDiv w:val="1"/>
      <w:marLeft w:val="0"/>
      <w:marRight w:val="0"/>
      <w:marTop w:val="0"/>
      <w:marBottom w:val="0"/>
      <w:divBdr>
        <w:top w:val="none" w:sz="0" w:space="0" w:color="auto"/>
        <w:left w:val="none" w:sz="0" w:space="0" w:color="auto"/>
        <w:bottom w:val="none" w:sz="0" w:space="0" w:color="auto"/>
        <w:right w:val="none" w:sz="0" w:space="0" w:color="auto"/>
      </w:divBdr>
    </w:div>
    <w:div w:id="1429618514">
      <w:bodyDiv w:val="1"/>
      <w:marLeft w:val="0"/>
      <w:marRight w:val="0"/>
      <w:marTop w:val="0"/>
      <w:marBottom w:val="0"/>
      <w:divBdr>
        <w:top w:val="none" w:sz="0" w:space="0" w:color="auto"/>
        <w:left w:val="none" w:sz="0" w:space="0" w:color="auto"/>
        <w:bottom w:val="none" w:sz="0" w:space="0" w:color="auto"/>
        <w:right w:val="none" w:sz="0" w:space="0" w:color="auto"/>
      </w:divBdr>
    </w:div>
    <w:div w:id="1430082539">
      <w:bodyDiv w:val="1"/>
      <w:marLeft w:val="0"/>
      <w:marRight w:val="0"/>
      <w:marTop w:val="0"/>
      <w:marBottom w:val="0"/>
      <w:divBdr>
        <w:top w:val="none" w:sz="0" w:space="0" w:color="auto"/>
        <w:left w:val="none" w:sz="0" w:space="0" w:color="auto"/>
        <w:bottom w:val="none" w:sz="0" w:space="0" w:color="auto"/>
        <w:right w:val="none" w:sz="0" w:space="0" w:color="auto"/>
      </w:divBdr>
    </w:div>
    <w:div w:id="1446345249">
      <w:bodyDiv w:val="1"/>
      <w:marLeft w:val="0"/>
      <w:marRight w:val="0"/>
      <w:marTop w:val="0"/>
      <w:marBottom w:val="0"/>
      <w:divBdr>
        <w:top w:val="none" w:sz="0" w:space="0" w:color="auto"/>
        <w:left w:val="none" w:sz="0" w:space="0" w:color="auto"/>
        <w:bottom w:val="none" w:sz="0" w:space="0" w:color="auto"/>
        <w:right w:val="none" w:sz="0" w:space="0" w:color="auto"/>
      </w:divBdr>
    </w:div>
    <w:div w:id="1452280216">
      <w:bodyDiv w:val="1"/>
      <w:marLeft w:val="0"/>
      <w:marRight w:val="0"/>
      <w:marTop w:val="0"/>
      <w:marBottom w:val="0"/>
      <w:divBdr>
        <w:top w:val="none" w:sz="0" w:space="0" w:color="auto"/>
        <w:left w:val="none" w:sz="0" w:space="0" w:color="auto"/>
        <w:bottom w:val="none" w:sz="0" w:space="0" w:color="auto"/>
        <w:right w:val="none" w:sz="0" w:space="0" w:color="auto"/>
      </w:divBdr>
    </w:div>
    <w:div w:id="1456173047">
      <w:bodyDiv w:val="1"/>
      <w:marLeft w:val="0"/>
      <w:marRight w:val="0"/>
      <w:marTop w:val="0"/>
      <w:marBottom w:val="0"/>
      <w:divBdr>
        <w:top w:val="none" w:sz="0" w:space="0" w:color="auto"/>
        <w:left w:val="none" w:sz="0" w:space="0" w:color="auto"/>
        <w:bottom w:val="none" w:sz="0" w:space="0" w:color="auto"/>
        <w:right w:val="none" w:sz="0" w:space="0" w:color="auto"/>
      </w:divBdr>
    </w:div>
    <w:div w:id="1577323977">
      <w:bodyDiv w:val="1"/>
      <w:marLeft w:val="0"/>
      <w:marRight w:val="0"/>
      <w:marTop w:val="0"/>
      <w:marBottom w:val="0"/>
      <w:divBdr>
        <w:top w:val="none" w:sz="0" w:space="0" w:color="auto"/>
        <w:left w:val="none" w:sz="0" w:space="0" w:color="auto"/>
        <w:bottom w:val="none" w:sz="0" w:space="0" w:color="auto"/>
        <w:right w:val="none" w:sz="0" w:space="0" w:color="auto"/>
      </w:divBdr>
    </w:div>
    <w:div w:id="1582908772">
      <w:bodyDiv w:val="1"/>
      <w:marLeft w:val="0"/>
      <w:marRight w:val="0"/>
      <w:marTop w:val="0"/>
      <w:marBottom w:val="0"/>
      <w:divBdr>
        <w:top w:val="none" w:sz="0" w:space="0" w:color="auto"/>
        <w:left w:val="none" w:sz="0" w:space="0" w:color="auto"/>
        <w:bottom w:val="none" w:sz="0" w:space="0" w:color="auto"/>
        <w:right w:val="none" w:sz="0" w:space="0" w:color="auto"/>
      </w:divBdr>
    </w:div>
    <w:div w:id="1634558188">
      <w:bodyDiv w:val="1"/>
      <w:marLeft w:val="0"/>
      <w:marRight w:val="0"/>
      <w:marTop w:val="0"/>
      <w:marBottom w:val="0"/>
      <w:divBdr>
        <w:top w:val="none" w:sz="0" w:space="0" w:color="auto"/>
        <w:left w:val="none" w:sz="0" w:space="0" w:color="auto"/>
        <w:bottom w:val="none" w:sz="0" w:space="0" w:color="auto"/>
        <w:right w:val="none" w:sz="0" w:space="0" w:color="auto"/>
      </w:divBdr>
    </w:div>
    <w:div w:id="1646199186">
      <w:bodyDiv w:val="1"/>
      <w:marLeft w:val="0"/>
      <w:marRight w:val="0"/>
      <w:marTop w:val="0"/>
      <w:marBottom w:val="0"/>
      <w:divBdr>
        <w:top w:val="none" w:sz="0" w:space="0" w:color="auto"/>
        <w:left w:val="none" w:sz="0" w:space="0" w:color="auto"/>
        <w:bottom w:val="none" w:sz="0" w:space="0" w:color="auto"/>
        <w:right w:val="none" w:sz="0" w:space="0" w:color="auto"/>
      </w:divBdr>
    </w:div>
    <w:div w:id="1692146516">
      <w:bodyDiv w:val="1"/>
      <w:marLeft w:val="0"/>
      <w:marRight w:val="0"/>
      <w:marTop w:val="0"/>
      <w:marBottom w:val="0"/>
      <w:divBdr>
        <w:top w:val="none" w:sz="0" w:space="0" w:color="auto"/>
        <w:left w:val="none" w:sz="0" w:space="0" w:color="auto"/>
        <w:bottom w:val="none" w:sz="0" w:space="0" w:color="auto"/>
        <w:right w:val="none" w:sz="0" w:space="0" w:color="auto"/>
      </w:divBdr>
    </w:div>
    <w:div w:id="1750425381">
      <w:bodyDiv w:val="1"/>
      <w:marLeft w:val="0"/>
      <w:marRight w:val="0"/>
      <w:marTop w:val="0"/>
      <w:marBottom w:val="0"/>
      <w:divBdr>
        <w:top w:val="none" w:sz="0" w:space="0" w:color="auto"/>
        <w:left w:val="none" w:sz="0" w:space="0" w:color="auto"/>
        <w:bottom w:val="none" w:sz="0" w:space="0" w:color="auto"/>
        <w:right w:val="none" w:sz="0" w:space="0" w:color="auto"/>
      </w:divBdr>
    </w:div>
    <w:div w:id="1764448930">
      <w:bodyDiv w:val="1"/>
      <w:marLeft w:val="0"/>
      <w:marRight w:val="0"/>
      <w:marTop w:val="0"/>
      <w:marBottom w:val="0"/>
      <w:divBdr>
        <w:top w:val="none" w:sz="0" w:space="0" w:color="auto"/>
        <w:left w:val="none" w:sz="0" w:space="0" w:color="auto"/>
        <w:bottom w:val="none" w:sz="0" w:space="0" w:color="auto"/>
        <w:right w:val="none" w:sz="0" w:space="0" w:color="auto"/>
      </w:divBdr>
    </w:div>
    <w:div w:id="1808552065">
      <w:bodyDiv w:val="1"/>
      <w:marLeft w:val="0"/>
      <w:marRight w:val="0"/>
      <w:marTop w:val="0"/>
      <w:marBottom w:val="0"/>
      <w:divBdr>
        <w:top w:val="none" w:sz="0" w:space="0" w:color="auto"/>
        <w:left w:val="none" w:sz="0" w:space="0" w:color="auto"/>
        <w:bottom w:val="none" w:sz="0" w:space="0" w:color="auto"/>
        <w:right w:val="none" w:sz="0" w:space="0" w:color="auto"/>
      </w:divBdr>
    </w:div>
    <w:div w:id="1819882094">
      <w:bodyDiv w:val="1"/>
      <w:marLeft w:val="0"/>
      <w:marRight w:val="0"/>
      <w:marTop w:val="0"/>
      <w:marBottom w:val="0"/>
      <w:divBdr>
        <w:top w:val="none" w:sz="0" w:space="0" w:color="auto"/>
        <w:left w:val="none" w:sz="0" w:space="0" w:color="auto"/>
        <w:bottom w:val="none" w:sz="0" w:space="0" w:color="auto"/>
        <w:right w:val="none" w:sz="0" w:space="0" w:color="auto"/>
      </w:divBdr>
    </w:div>
    <w:div w:id="1857579870">
      <w:bodyDiv w:val="1"/>
      <w:marLeft w:val="0"/>
      <w:marRight w:val="0"/>
      <w:marTop w:val="0"/>
      <w:marBottom w:val="0"/>
      <w:divBdr>
        <w:top w:val="none" w:sz="0" w:space="0" w:color="auto"/>
        <w:left w:val="none" w:sz="0" w:space="0" w:color="auto"/>
        <w:bottom w:val="none" w:sz="0" w:space="0" w:color="auto"/>
        <w:right w:val="none" w:sz="0" w:space="0" w:color="auto"/>
      </w:divBdr>
    </w:div>
    <w:div w:id="2063861987">
      <w:bodyDiv w:val="1"/>
      <w:marLeft w:val="0"/>
      <w:marRight w:val="0"/>
      <w:marTop w:val="0"/>
      <w:marBottom w:val="0"/>
      <w:divBdr>
        <w:top w:val="none" w:sz="0" w:space="0" w:color="auto"/>
        <w:left w:val="none" w:sz="0" w:space="0" w:color="auto"/>
        <w:bottom w:val="none" w:sz="0" w:space="0" w:color="auto"/>
        <w:right w:val="none" w:sz="0" w:space="0" w:color="auto"/>
      </w:divBdr>
    </w:div>
    <w:div w:id="213629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FI/TXT/?uri=celex:31995L0046" TargetMode="External"/><Relationship Id="rId13" Type="http://schemas.openxmlformats.org/officeDocument/2006/relationships/hyperlink" Target="http://ec.europa.eu/transparency/regexpert/index.cfm?do=groupDetail.groupMeeting&amp;meetingId=15670" TargetMode="External"/><Relationship Id="rId18" Type="http://schemas.openxmlformats.org/officeDocument/2006/relationships/hyperlink" Target="http://ec.europa.eu/transparency/regexpert/index.cfm?do=groupDetail.groupMeeting&amp;meetingId=15670" TargetMode="External"/><Relationship Id="rId26" Type="http://schemas.openxmlformats.org/officeDocument/2006/relationships/hyperlink" Target="https://edpb.europa.eu/our-work-tools/our-documents/guidelines/guidelines-42018-accreditation-certification-bodies-under_fi" TargetMode="External"/><Relationship Id="rId39" Type="http://schemas.openxmlformats.org/officeDocument/2006/relationships/hyperlink" Target="https://www.g20.org/pdf/documents/en/annex_08.pdf" TargetMode="External"/><Relationship Id="rId3" Type="http://schemas.openxmlformats.org/officeDocument/2006/relationships/hyperlink" Target="https://eur-lex.europa.eu/legal-content/FI/TXT/?uri=CELEX:32018R1725" TargetMode="External"/><Relationship Id="rId21" Type="http://schemas.openxmlformats.org/officeDocument/2006/relationships/hyperlink" Target="https://ec.europa.eu/commission/priorities/justice-and-fundamental-rights/data-protection/2018-reform-eu-data-protection-rules_fi" TargetMode="External"/><Relationship Id="rId34" Type="http://schemas.openxmlformats.org/officeDocument/2006/relationships/hyperlink" Target="https://eur-lex.europa.eu/legal-content/FI/TXT/?uri=celex:32014R0536" TargetMode="External"/><Relationship Id="rId42" Type="http://schemas.openxmlformats.org/officeDocument/2006/relationships/hyperlink" Target="https://legalinstruments.oecd.org/en/instruments/OECD-LEGAL-0449" TargetMode="External"/><Relationship Id="rId47" Type="http://schemas.openxmlformats.org/officeDocument/2006/relationships/hyperlink" Target="https://eur-lex.europa.eu/legal-content/FI/TXT/PDF/?uri=CELEX:52018DC0638" TargetMode="External"/><Relationship Id="rId7" Type="http://schemas.openxmlformats.org/officeDocument/2006/relationships/hyperlink" Target="https://eur-lex.europa.eu/legal-content/FI/TXT/PDF/?uri=CELEX:52018DC0638" TargetMode="External"/><Relationship Id="rId12" Type="http://schemas.openxmlformats.org/officeDocument/2006/relationships/hyperlink" Target="https://ico.org.uk/about-the-ico/news-and-events/news-and-blogs/2018/09/ico-call-for-views-on-creating-a-regulatory-sandbox/" TargetMode="External"/><Relationship Id="rId17" Type="http://schemas.openxmlformats.org/officeDocument/2006/relationships/hyperlink" Target="https://edpb.europa.eu/our-work-tools/our-documents/publication-type/work-program_fi" TargetMode="External"/><Relationship Id="rId25" Type="http://schemas.openxmlformats.org/officeDocument/2006/relationships/hyperlink" Target="https://edpb.europa.eu/our-work-tools/our-documents/guidelines/guidelines-12018-certification-and-identifying-certification_fi" TargetMode="External"/><Relationship Id="rId33" Type="http://schemas.openxmlformats.org/officeDocument/2006/relationships/hyperlink" Target="https://eur-lex.europa.eu/legal-content/FI/TXT/?uri=CELEX:52017PC0010" TargetMode="External"/><Relationship Id="rId38" Type="http://schemas.openxmlformats.org/officeDocument/2006/relationships/hyperlink" Target="https://legalinstruments.oecd.org/en/instruments/OECD-LEGAL-0449" TargetMode="External"/><Relationship Id="rId46" Type="http://schemas.openxmlformats.org/officeDocument/2006/relationships/hyperlink" Target="http://europa.eu/rapid/press-release_IP-18-5681_fi.htm" TargetMode="External"/><Relationship Id="rId2" Type="http://schemas.openxmlformats.org/officeDocument/2006/relationships/hyperlink" Target="https://eur-lex.europa.eu/legal-content/FI/ALL/?uri=celex:32016L0680" TargetMode="External"/><Relationship Id="rId16" Type="http://schemas.openxmlformats.org/officeDocument/2006/relationships/hyperlink" Target="https://edpb.europa.eu/our-work-tools/general-guidance/gdpr-guidelines-recommendations-best-practices_fi" TargetMode="External"/><Relationship Id="rId20" Type="http://schemas.openxmlformats.org/officeDocument/2006/relationships/hyperlink" Target="https://ec.europa.eu/commission/sites/beta-political/files/infographic-gdpr_in_numbers_1.pdf" TargetMode="External"/><Relationship Id="rId29" Type="http://schemas.openxmlformats.org/officeDocument/2006/relationships/hyperlink" Target="https://eur-lex.europa.eu/legal-content/FI/TXT/?uri=celex:22016A1210(01)" TargetMode="External"/><Relationship Id="rId41" Type="http://schemas.openxmlformats.org/officeDocument/2006/relationships/hyperlink" Target="https://ec.europa.eu/digital-single-market/en/high-level-expert-group-artificial-intelligence" TargetMode="External"/><Relationship Id="rId1" Type="http://schemas.openxmlformats.org/officeDocument/2006/relationships/hyperlink" Target="https://eur-lex.europa.eu/legal-content/FI/TXT/?uri=CELEX:32016R0679" TargetMode="External"/><Relationship Id="rId6" Type="http://schemas.openxmlformats.org/officeDocument/2006/relationships/hyperlink" Target="http://europa.eu/rapid/press-release_IP-19-2956_fi.htm" TargetMode="External"/><Relationship Id="rId11" Type="http://schemas.openxmlformats.org/officeDocument/2006/relationships/hyperlink" Target="https://www.dataprotection.ie/en/news-media/press-releases/dpc-publishes-annual-report-25-may-31-december-2018" TargetMode="External"/><Relationship Id="rId24" Type="http://schemas.openxmlformats.org/officeDocument/2006/relationships/hyperlink" Target="https://ec.europa.eu/commission/sites/beta-political/files/ds-02-18-544-fi-n.pdf" TargetMode="External"/><Relationship Id="rId32" Type="http://schemas.openxmlformats.org/officeDocument/2006/relationships/hyperlink" Target="http://europa.eu/rapid/press-release_IP-19-2891_en.htm" TargetMode="External"/><Relationship Id="rId37" Type="http://schemas.openxmlformats.org/officeDocument/2006/relationships/hyperlink" Target="https://ec.europa.eu/digital-single-market/en/news/ethics-guidelines-trustworthy-ai" TargetMode="External"/><Relationship Id="rId40" Type="http://schemas.openxmlformats.org/officeDocument/2006/relationships/hyperlink" Target="https://g20trade-digital.go.jp/dl/Ministerial_Statement_on_Trade_and_Digital_Economy.pdf" TargetMode="External"/><Relationship Id="rId45" Type="http://schemas.openxmlformats.org/officeDocument/2006/relationships/hyperlink" Target="https://eur-lex.europa.eu/legal-content/FI/ALL/?uri=CELEX:32009L0072" TargetMode="External"/><Relationship Id="rId5" Type="http://schemas.openxmlformats.org/officeDocument/2006/relationships/hyperlink" Target="http://ec.europa.eu/transparency/regexpert/index.cfm?do=groupDetail.groupDetail&amp;groupID=3537&amp;Lang=FI" TargetMode="External"/><Relationship Id="rId15" Type="http://schemas.openxmlformats.org/officeDocument/2006/relationships/hyperlink" Target="https://ec.europa.eu/info/funding-tenders/opportunities/portal/screen/opportunities/topic-details/rec-rdat-trai-ag-2019" TargetMode="External"/><Relationship Id="rId23" Type="http://schemas.openxmlformats.org/officeDocument/2006/relationships/hyperlink" Target="https://www.cnil.fr/fr/la-cnil-et-bpifrance-sassocient-pour-accompagner-les-tpe-et-pme-dans-leur-appropriation-du-reglement" TargetMode="External"/><Relationship Id="rId28" Type="http://schemas.openxmlformats.org/officeDocument/2006/relationships/hyperlink" Target="https://www.consilium.europa.eu/media/40124/final_g20_osaka_leaders_declaration.pdf" TargetMode="External"/><Relationship Id="rId36" Type="http://schemas.openxmlformats.org/officeDocument/2006/relationships/hyperlink" Target="https://ec.europa.eu/digital-single-market/en/news/communication-building-trust-human-centric-artificial-intelligence" TargetMode="External"/><Relationship Id="rId10" Type="http://schemas.openxmlformats.org/officeDocument/2006/relationships/hyperlink" Target="https://edpb.europa.eu/sites/edpb/files/files/file1/19_2019_edpb_written_report_to_libe_en.pdf" TargetMode="External"/><Relationship Id="rId19" Type="http://schemas.openxmlformats.org/officeDocument/2006/relationships/hyperlink" Target="http://europa.eu/rapid/press-release_IP-19-2956_fi.htm" TargetMode="External"/><Relationship Id="rId31" Type="http://schemas.openxmlformats.org/officeDocument/2006/relationships/hyperlink" Target="https://ec.europa.eu/home-affairs/news/security-union-strengthening-europols-cooperation-third-countries-fight-terrorism-and-serious_en" TargetMode="External"/><Relationship Id="rId44" Type="http://schemas.openxmlformats.org/officeDocument/2006/relationships/hyperlink" Target="https://edpb.europa.eu/sites/edpb/files/files/file1/edpb-2019-02-12plen-2.1edpb_work_program_en.pdf" TargetMode="External"/><Relationship Id="rId4" Type="http://schemas.openxmlformats.org/officeDocument/2006/relationships/hyperlink" Target="https://eur-lex.europa.eu/legal-content/FI/TXT/?qid=1517578296944&amp;uri=CELEX:52018DC0043" TargetMode="External"/><Relationship Id="rId9" Type="http://schemas.openxmlformats.org/officeDocument/2006/relationships/hyperlink" Target="http://ec.europa.eu/transparency/regexpert/index.cfm?do=groupDetail.groupMeeting&amp;meetingId=15670" TargetMode="External"/><Relationship Id="rId14" Type="http://schemas.openxmlformats.org/officeDocument/2006/relationships/hyperlink" Target="https://ec.europa.eu/info/funding-tenders/opportunities/portal/screen/opportunities/topic-details/rec-rdat-trai-ag-2017" TargetMode="External"/><Relationship Id="rId22" Type="http://schemas.openxmlformats.org/officeDocument/2006/relationships/hyperlink" Target="https://ec.europa.eu/growth/smes/business-friendly-environment/sme-definition_fi" TargetMode="External"/><Relationship Id="rId27" Type="http://schemas.openxmlformats.org/officeDocument/2006/relationships/hyperlink" Target="https://rm.coe.int/16808ade9d" TargetMode="External"/><Relationship Id="rId30" Type="http://schemas.openxmlformats.org/officeDocument/2006/relationships/hyperlink" Target="https://eur-lex.europa.eu/legal-content/FI/TXT/PDF/?uri=CELEX:52015DC0185" TargetMode="External"/><Relationship Id="rId35" Type="http://schemas.openxmlformats.org/officeDocument/2006/relationships/hyperlink" Target="https://ec.europa.eu/health/sites/health/files/files/documents/qa_clinicaltrials_gdpr_en.pdf" TargetMode="External"/><Relationship Id="rId43" Type="http://schemas.openxmlformats.org/officeDocument/2006/relationships/hyperlink" Target="https://g20trade-digital.go.jp/dl/Ministerial_Statement_on_Trade_and_Digital_Economy.pdf" TargetMode="External"/><Relationship Id="rId48" Type="http://schemas.openxmlformats.org/officeDocument/2006/relationships/hyperlink" Target="https://edpb.europa.eu/sites/edpb/files/files/file1/201902_edpb_statementonelections_f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DFAFC-D569-45A4-ADD1-1DFDA68D6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21</Pages>
  <Words>6453</Words>
  <Characters>38848</Characters>
  <Application>Microsoft Office Word</Application>
  <DocSecurity>0</DocSecurity>
  <Lines>588</Lines>
  <Paragraphs>168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45133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HEILEMANN Stefanie (SG)</cp:lastModifiedBy>
  <cp:revision>26</cp:revision>
  <cp:lastPrinted>2019-07-19T05:47:00Z</cp:lastPrinted>
  <dcterms:created xsi:type="dcterms:W3CDTF">2019-07-22T10:44:00Z</dcterms:created>
  <dcterms:modified xsi:type="dcterms:W3CDTF">2019-09-13T08:13:00Z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CP-012</vt:lpwstr>
  </property>
</Properties>
</file>