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EFD06" w14:textId="77777777" w:rsidR="00107E8F" w:rsidRPr="00223F1E" w:rsidRDefault="00107E8F" w:rsidP="00107E8F">
      <w:pPr>
        <w:pStyle w:val="DFARS"/>
        <w:rPr>
          <w:rFonts w:cs="Courier New"/>
          <w:b/>
          <w:iCs/>
          <w:szCs w:val="24"/>
        </w:rPr>
      </w:pPr>
      <w:r>
        <w:rPr>
          <w:rFonts w:cs="Courier New"/>
          <w:b/>
          <w:iCs/>
          <w:szCs w:val="24"/>
        </w:rPr>
        <w:t>252.223</w:t>
      </w:r>
      <w:r w:rsidRPr="00223F1E">
        <w:rPr>
          <w:rFonts w:cs="Courier New"/>
          <w:b/>
          <w:iCs/>
          <w:szCs w:val="24"/>
        </w:rPr>
        <w:t>-</w:t>
      </w:r>
      <w:proofErr w:type="gramStart"/>
      <w:r w:rsidRPr="00223F1E">
        <w:rPr>
          <w:rFonts w:cs="Courier New"/>
          <w:b/>
          <w:iCs/>
          <w:szCs w:val="24"/>
        </w:rPr>
        <w:t>7</w:t>
      </w:r>
      <w:r>
        <w:rPr>
          <w:rFonts w:cs="Courier New"/>
          <w:b/>
          <w:iCs/>
          <w:szCs w:val="24"/>
        </w:rPr>
        <w:t>997</w:t>
      </w:r>
      <w:r w:rsidRPr="00223F1E">
        <w:rPr>
          <w:rFonts w:cs="Courier New"/>
          <w:b/>
          <w:iCs/>
          <w:szCs w:val="24"/>
        </w:rPr>
        <w:t xml:space="preserve">  </w:t>
      </w:r>
      <w:r>
        <w:rPr>
          <w:rFonts w:cs="Courier New"/>
          <w:b/>
          <w:iCs/>
          <w:szCs w:val="24"/>
        </w:rPr>
        <w:t>Prohibition</w:t>
      </w:r>
      <w:proofErr w:type="gramEnd"/>
      <w:r w:rsidRPr="00006D0B">
        <w:rPr>
          <w:rFonts w:cs="Courier New"/>
          <w:b/>
          <w:iCs/>
          <w:szCs w:val="24"/>
        </w:rPr>
        <w:t xml:space="preserve"> on Procurement of Certain Items Conta</w:t>
      </w:r>
      <w:r>
        <w:rPr>
          <w:rFonts w:cs="Courier New"/>
          <w:b/>
          <w:iCs/>
          <w:szCs w:val="24"/>
        </w:rPr>
        <w:t xml:space="preserve">ining </w:t>
      </w:r>
      <w:proofErr w:type="spellStart"/>
      <w:r>
        <w:rPr>
          <w:rFonts w:cs="Courier New"/>
          <w:b/>
          <w:iCs/>
          <w:szCs w:val="24"/>
        </w:rPr>
        <w:t>Perfluorooctane</w:t>
      </w:r>
      <w:proofErr w:type="spellEnd"/>
      <w:r>
        <w:rPr>
          <w:rFonts w:cs="Courier New"/>
          <w:b/>
          <w:iCs/>
          <w:szCs w:val="24"/>
        </w:rPr>
        <w:t xml:space="preserve"> Sulfonate</w:t>
      </w:r>
      <w:r w:rsidRPr="00006D0B">
        <w:rPr>
          <w:rFonts w:cs="Courier New"/>
          <w:b/>
          <w:iCs/>
          <w:szCs w:val="24"/>
        </w:rPr>
        <w:t xml:space="preserve"> or </w:t>
      </w:r>
      <w:proofErr w:type="spellStart"/>
      <w:r w:rsidRPr="00006D0B">
        <w:rPr>
          <w:rFonts w:cs="Courier New"/>
          <w:b/>
          <w:iCs/>
          <w:szCs w:val="24"/>
        </w:rPr>
        <w:t>Perfluorooctanoic</w:t>
      </w:r>
      <w:proofErr w:type="spellEnd"/>
      <w:r w:rsidRPr="00006D0B">
        <w:rPr>
          <w:rFonts w:cs="Courier New"/>
          <w:b/>
          <w:iCs/>
          <w:szCs w:val="24"/>
        </w:rPr>
        <w:t xml:space="preserve"> Acid </w:t>
      </w:r>
      <w:r w:rsidRPr="00223F1E">
        <w:rPr>
          <w:rFonts w:cs="Courier New"/>
          <w:b/>
          <w:iCs/>
          <w:szCs w:val="24"/>
        </w:rPr>
        <w:t>—Representation.</w:t>
      </w:r>
    </w:p>
    <w:p w14:paraId="4D1DC245" w14:textId="77777777" w:rsidR="00107E8F" w:rsidRPr="00223F1E" w:rsidRDefault="00107E8F" w:rsidP="00107E8F">
      <w:pPr>
        <w:pStyle w:val="DFARS"/>
        <w:rPr>
          <w:rFonts w:cs="Courier New"/>
          <w:bCs/>
          <w:iCs/>
          <w:szCs w:val="24"/>
        </w:rPr>
      </w:pPr>
    </w:p>
    <w:p w14:paraId="09B2AAE9" w14:textId="77777777" w:rsidR="00636041" w:rsidRDefault="00107E8F" w:rsidP="00107E8F">
      <w:pPr>
        <w:pStyle w:val="DFARS"/>
        <w:rPr>
          <w:rFonts w:cs="Courier New"/>
          <w:bCs/>
          <w:iCs/>
          <w:szCs w:val="24"/>
        </w:rPr>
      </w:pPr>
      <w:r>
        <w:rPr>
          <w:rFonts w:cs="Courier New"/>
          <w:bCs/>
          <w:iCs/>
          <w:szCs w:val="24"/>
        </w:rPr>
        <w:t xml:space="preserve">Effective immediately, </w:t>
      </w:r>
      <w:r w:rsidRPr="00754AF8">
        <w:rPr>
          <w:rFonts w:cs="Courier New"/>
          <w:bCs/>
          <w:iCs/>
          <w:szCs w:val="24"/>
        </w:rPr>
        <w:t xml:space="preserve">for awards anticipated to occur on or after April 1, 2023, include the following provision in all solicitations, including solicitations for the acquisition of commercial products (including commercially available off-the-shelf items) and </w:t>
      </w:r>
    </w:p>
    <w:p w14:paraId="265357F4" w14:textId="77777777" w:rsidR="00107E8F" w:rsidRPr="00754AF8" w:rsidRDefault="00107E8F" w:rsidP="008643E7">
      <w:pPr>
        <w:pStyle w:val="DFARS"/>
        <w:tabs>
          <w:tab w:val="bar" w:pos="10080"/>
        </w:tabs>
        <w:rPr>
          <w:rFonts w:cs="Courier New"/>
          <w:bCs/>
          <w:iCs/>
          <w:szCs w:val="24"/>
        </w:rPr>
      </w:pPr>
      <w:proofErr w:type="gramStart"/>
      <w:r w:rsidRPr="00754AF8">
        <w:rPr>
          <w:rFonts w:cs="Courier New"/>
          <w:bCs/>
          <w:iCs/>
          <w:szCs w:val="24"/>
        </w:rPr>
        <w:t>commercial</w:t>
      </w:r>
      <w:proofErr w:type="gramEnd"/>
      <w:r w:rsidRPr="00754AF8">
        <w:rPr>
          <w:rFonts w:cs="Courier New"/>
          <w:bCs/>
          <w:iCs/>
          <w:szCs w:val="24"/>
        </w:rPr>
        <w:t xml:space="preserve"> services using FAR part 12 procedures, for acquisition of covered items</w:t>
      </w:r>
      <w:r w:rsidR="00C05EFB">
        <w:rPr>
          <w:rFonts w:cs="Courier New"/>
          <w:bCs/>
          <w:iCs/>
          <w:szCs w:val="24"/>
        </w:rPr>
        <w:t>.</w:t>
      </w:r>
    </w:p>
    <w:p w14:paraId="66620507" w14:textId="77777777" w:rsidR="00107E8F" w:rsidRPr="00754AF8" w:rsidRDefault="00107E8F" w:rsidP="00107E8F">
      <w:pPr>
        <w:pStyle w:val="DFARS"/>
        <w:rPr>
          <w:rFonts w:cs="Courier New"/>
          <w:b/>
          <w:iCs/>
          <w:szCs w:val="24"/>
        </w:rPr>
      </w:pPr>
    </w:p>
    <w:p w14:paraId="5967D221" w14:textId="77777777" w:rsidR="00107E8F" w:rsidRPr="00754AF8" w:rsidRDefault="00107E8F" w:rsidP="00107E8F">
      <w:pPr>
        <w:pStyle w:val="DFARS"/>
        <w:jc w:val="center"/>
        <w:rPr>
          <w:rFonts w:cs="Courier New"/>
          <w:iCs/>
          <w:szCs w:val="24"/>
        </w:rPr>
      </w:pPr>
      <w:r w:rsidRPr="00754AF8">
        <w:rPr>
          <w:rFonts w:cs="Courier New"/>
          <w:iCs/>
          <w:caps/>
          <w:szCs w:val="24"/>
        </w:rPr>
        <w:t>Prohibition on Procurement of Certain Items Containing Perfluorooctane Sulfonate or Perfluorooctanoic Acid —Representation—Representation</w:t>
      </w:r>
      <w:r w:rsidRPr="00754AF8">
        <w:rPr>
          <w:rFonts w:cs="Courier New"/>
          <w:iCs/>
          <w:szCs w:val="24"/>
        </w:rPr>
        <w:t xml:space="preserve"> (DEVIATION </w:t>
      </w:r>
      <w:r w:rsidRPr="00E617F9">
        <w:t>202</w:t>
      </w:r>
      <w:r>
        <w:t>2</w:t>
      </w:r>
      <w:r w:rsidRPr="00E617F9">
        <w:t>-O</w:t>
      </w:r>
      <w:r>
        <w:t>0010</w:t>
      </w:r>
      <w:r w:rsidRPr="00754AF8">
        <w:rPr>
          <w:rFonts w:cs="Courier New"/>
          <w:iCs/>
          <w:szCs w:val="24"/>
        </w:rPr>
        <w:t>)</w:t>
      </w:r>
    </w:p>
    <w:p w14:paraId="7EF52E1A" w14:textId="77777777" w:rsidR="00107E8F" w:rsidRPr="00754AF8" w:rsidRDefault="00107E8F" w:rsidP="00107E8F">
      <w:pPr>
        <w:pStyle w:val="DFARS"/>
        <w:jc w:val="center"/>
        <w:rPr>
          <w:rFonts w:cs="Courier New"/>
          <w:iCs/>
          <w:szCs w:val="24"/>
        </w:rPr>
      </w:pPr>
      <w:r w:rsidRPr="00754AF8">
        <w:rPr>
          <w:rFonts w:cs="Courier New"/>
          <w:iCs/>
          <w:szCs w:val="24"/>
        </w:rPr>
        <w:t>(</w:t>
      </w:r>
      <w:r>
        <w:rPr>
          <w:rFonts w:cs="Courier New"/>
          <w:iCs/>
          <w:szCs w:val="24"/>
        </w:rPr>
        <w:t>SEP</w:t>
      </w:r>
      <w:r w:rsidRPr="00754AF8">
        <w:rPr>
          <w:rFonts w:cs="Courier New"/>
          <w:iCs/>
          <w:szCs w:val="24"/>
        </w:rPr>
        <w:t xml:space="preserve"> 2022)</w:t>
      </w:r>
    </w:p>
    <w:p w14:paraId="1EF68DCA" w14:textId="77777777" w:rsidR="00107E8F" w:rsidRPr="00754AF8" w:rsidRDefault="00107E8F" w:rsidP="00107E8F">
      <w:pPr>
        <w:pStyle w:val="DFARS"/>
        <w:rPr>
          <w:rFonts w:cs="Courier New"/>
          <w:iCs/>
          <w:szCs w:val="24"/>
        </w:rPr>
      </w:pPr>
    </w:p>
    <w:p w14:paraId="73AA390D" w14:textId="7675D3DC"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r w:rsidRPr="009F6D85">
        <w:rPr>
          <w:rFonts w:ascii="Century Schoolbook" w:hAnsi="Century Schoolbook" w:cs="Courier New"/>
          <w:iCs/>
          <w:sz w:val="24"/>
          <w:szCs w:val="24"/>
        </w:rPr>
        <w:tab/>
        <w:t xml:space="preserve">(a)  Effective April 1, 2023, in accordance with section 333 of the William M. (Mac) Thornberry National Defense Authorization Act for Fiscal Year 2021 (Pub. L. 116-283) the Department of Defense may not procure any covered items that contain </w:t>
      </w:r>
      <w:proofErr w:type="spellStart"/>
      <w:r w:rsidRPr="009F6D85">
        <w:rPr>
          <w:rFonts w:ascii="Century Schoolbook" w:hAnsi="Century Schoolbook" w:cs="Courier New"/>
          <w:iCs/>
          <w:sz w:val="24"/>
          <w:szCs w:val="24"/>
        </w:rPr>
        <w:t>perfluorooctane</w:t>
      </w:r>
      <w:proofErr w:type="spellEnd"/>
      <w:r w:rsidRPr="009F6D85">
        <w:rPr>
          <w:rFonts w:ascii="Century Schoolbook" w:hAnsi="Century Schoolbook" w:cs="Courier New"/>
          <w:iCs/>
          <w:sz w:val="24"/>
          <w:szCs w:val="24"/>
        </w:rPr>
        <w:t xml:space="preserve"> sulfonate (PFOS) or </w:t>
      </w:r>
      <w:proofErr w:type="spellStart"/>
      <w:r w:rsidRPr="009F6D85">
        <w:rPr>
          <w:rFonts w:ascii="Century Schoolbook" w:hAnsi="Century Schoolbook" w:cs="Courier New"/>
          <w:iCs/>
          <w:sz w:val="24"/>
          <w:szCs w:val="24"/>
        </w:rPr>
        <w:t>perfluorooctanoic</w:t>
      </w:r>
      <w:proofErr w:type="spellEnd"/>
      <w:r w:rsidRPr="009F6D85">
        <w:rPr>
          <w:rFonts w:ascii="Century Schoolbook" w:hAnsi="Century Schoolbook" w:cs="Courier New"/>
          <w:iCs/>
          <w:sz w:val="24"/>
          <w:szCs w:val="24"/>
        </w:rPr>
        <w:t xml:space="preserve"> acid (PFOA).  A covered it</w:t>
      </w:r>
      <w:bookmarkStart w:id="0" w:name="_GoBack"/>
      <w:r w:rsidRPr="009F6D85">
        <w:rPr>
          <w:rFonts w:ascii="Century Schoolbook" w:hAnsi="Century Schoolbook" w:cs="Courier New"/>
          <w:iCs/>
          <w:sz w:val="24"/>
          <w:szCs w:val="24"/>
        </w:rPr>
        <w:t xml:space="preserve">em </w:t>
      </w:r>
      <w:r w:rsidR="00375A92">
        <w:rPr>
          <w:rFonts w:ascii="Century Schoolbook" w:hAnsi="Century Schoolbook" w:cs="Courier New"/>
          <w:iCs/>
          <w:sz w:val="24"/>
          <w:szCs w:val="24"/>
        </w:rPr>
        <w:t>is defined as</w:t>
      </w:r>
      <w:r w:rsidRPr="009F6D85">
        <w:rPr>
          <w:rFonts w:ascii="Century Schoolbook" w:hAnsi="Century Schoolbook" w:cs="Courier New"/>
          <w:iCs/>
          <w:sz w:val="24"/>
          <w:szCs w:val="24"/>
        </w:rPr>
        <w:t>:</w:t>
      </w:r>
    </w:p>
    <w:bookmarkEnd w:id="0"/>
    <w:p w14:paraId="645B8A2D" w14:textId="77777777"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p>
    <w:p w14:paraId="26D0D443" w14:textId="77777777" w:rsidR="00107E8F" w:rsidRPr="009F6D85" w:rsidRDefault="00C05EFB"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r w:rsidRPr="009F6D85">
        <w:rPr>
          <w:rFonts w:ascii="Century Schoolbook" w:hAnsi="Century Schoolbook" w:cs="Courier New"/>
          <w:iCs/>
          <w:sz w:val="24"/>
          <w:szCs w:val="24"/>
        </w:rPr>
        <w:tab/>
      </w:r>
      <w:r w:rsidRPr="009F6D85">
        <w:rPr>
          <w:rFonts w:ascii="Century Schoolbook" w:hAnsi="Century Schoolbook" w:cs="Courier New"/>
          <w:iCs/>
          <w:sz w:val="24"/>
          <w:szCs w:val="24"/>
        </w:rPr>
        <w:tab/>
        <w:t xml:space="preserve">(1)  </w:t>
      </w:r>
      <w:r w:rsidR="00107E8F" w:rsidRPr="009F6D85">
        <w:rPr>
          <w:rFonts w:ascii="Century Schoolbook" w:hAnsi="Century Schoolbook" w:cs="Courier New"/>
          <w:iCs/>
          <w:sz w:val="24"/>
          <w:szCs w:val="24"/>
        </w:rPr>
        <w:t>Nonstick cookware or cooking utensils for use in galleys or dining facilities; and</w:t>
      </w:r>
    </w:p>
    <w:p w14:paraId="346BE81B" w14:textId="77777777"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p>
    <w:p w14:paraId="2AB41E84" w14:textId="77777777"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r w:rsidRPr="009F6D85">
        <w:rPr>
          <w:rFonts w:ascii="Century Schoolbook" w:hAnsi="Century Schoolbook" w:cs="Courier New"/>
          <w:iCs/>
          <w:sz w:val="24"/>
          <w:szCs w:val="24"/>
        </w:rPr>
        <w:tab/>
      </w:r>
      <w:r w:rsidRPr="009F6D85">
        <w:rPr>
          <w:rFonts w:ascii="Century Schoolbook" w:hAnsi="Century Schoolbook" w:cs="Courier New"/>
          <w:iCs/>
          <w:sz w:val="24"/>
          <w:szCs w:val="24"/>
        </w:rPr>
        <w:tab/>
        <w:t>(2)</w:t>
      </w:r>
      <w:r w:rsidR="00C05EFB">
        <w:rPr>
          <w:rFonts w:ascii="Century Schoolbook" w:hAnsi="Century Schoolbook" w:cs="Courier New"/>
          <w:iCs/>
          <w:sz w:val="24"/>
          <w:szCs w:val="24"/>
        </w:rPr>
        <w:t xml:space="preserve"> </w:t>
      </w:r>
      <w:r w:rsidRPr="009F6D85">
        <w:rPr>
          <w:rFonts w:ascii="Century Schoolbook" w:hAnsi="Century Schoolbook" w:cs="Courier New"/>
          <w:iCs/>
          <w:sz w:val="24"/>
          <w:szCs w:val="24"/>
        </w:rPr>
        <w:t xml:space="preserve"> Upholstered furniture, carpets, and rugs that have been treated with stain-resistant coatings.</w:t>
      </w:r>
    </w:p>
    <w:p w14:paraId="5B036519" w14:textId="77777777"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p>
    <w:p w14:paraId="2C4A644C" w14:textId="77777777" w:rsidR="00107E8F" w:rsidRDefault="00107E8F" w:rsidP="00C05EFB">
      <w:pPr>
        <w:pStyle w:val="DFARS"/>
        <w:rPr>
          <w:rFonts w:cs="Courier New"/>
          <w:iCs/>
          <w:szCs w:val="24"/>
        </w:rPr>
      </w:pPr>
      <w:r w:rsidRPr="00223F1E">
        <w:rPr>
          <w:rFonts w:cs="Courier New"/>
          <w:iCs/>
          <w:szCs w:val="24"/>
        </w:rPr>
        <w:tab/>
        <w:t xml:space="preserve">(b)  </w:t>
      </w:r>
      <w:r w:rsidRPr="00223F1E">
        <w:rPr>
          <w:rFonts w:cs="Courier New"/>
          <w:i/>
          <w:szCs w:val="24"/>
        </w:rPr>
        <w:t>Representation</w:t>
      </w:r>
      <w:r w:rsidRPr="00223F1E">
        <w:rPr>
          <w:rFonts w:cs="Courier New"/>
          <w:iCs/>
          <w:szCs w:val="24"/>
        </w:rPr>
        <w:t xml:space="preserve">.  By submission of its offer, the </w:t>
      </w:r>
      <w:proofErr w:type="spellStart"/>
      <w:r w:rsidRPr="00223F1E">
        <w:rPr>
          <w:rFonts w:cs="Courier New"/>
          <w:iCs/>
          <w:szCs w:val="24"/>
        </w:rPr>
        <w:t>Offeror</w:t>
      </w:r>
      <w:proofErr w:type="spellEnd"/>
      <w:r w:rsidRPr="00223F1E">
        <w:rPr>
          <w:rFonts w:cs="Courier New"/>
          <w:iCs/>
          <w:szCs w:val="24"/>
        </w:rPr>
        <w:t xml:space="preserve"> represents that it is not providing as part of its offer </w:t>
      </w:r>
      <w:r>
        <w:rPr>
          <w:rFonts w:cs="Courier New"/>
          <w:iCs/>
          <w:szCs w:val="24"/>
        </w:rPr>
        <w:t xml:space="preserve">any covered items containing PFOS or PFOA. </w:t>
      </w:r>
    </w:p>
    <w:p w14:paraId="3CF686E2" w14:textId="77777777" w:rsidR="00107E8F" w:rsidRPr="00223F1E" w:rsidRDefault="00107E8F" w:rsidP="00107E8F">
      <w:pPr>
        <w:pStyle w:val="DFARS"/>
        <w:rPr>
          <w:rFonts w:cs="Courier New"/>
          <w:iCs/>
          <w:szCs w:val="24"/>
        </w:rPr>
      </w:pPr>
    </w:p>
    <w:p w14:paraId="58A16CAF" w14:textId="77777777" w:rsidR="00107E8F" w:rsidRPr="00223F1E" w:rsidRDefault="00107E8F" w:rsidP="00107E8F">
      <w:pPr>
        <w:pStyle w:val="DFARS"/>
        <w:tabs>
          <w:tab w:val="clear" w:pos="810"/>
          <w:tab w:val="left" w:pos="806"/>
        </w:tabs>
        <w:jc w:val="center"/>
        <w:rPr>
          <w:rFonts w:cs="Courier New"/>
          <w:iCs/>
          <w:szCs w:val="24"/>
        </w:rPr>
      </w:pPr>
      <w:r w:rsidRPr="00223F1E">
        <w:rPr>
          <w:rFonts w:cs="Courier New"/>
          <w:iCs/>
          <w:szCs w:val="24"/>
        </w:rPr>
        <w:t>(End of provision)</w:t>
      </w:r>
    </w:p>
    <w:p w14:paraId="43D35495" w14:textId="77777777" w:rsidR="00107E8F" w:rsidRDefault="00107E8F">
      <w:r>
        <w:br w:type="page"/>
      </w:r>
    </w:p>
    <w:p w14:paraId="1D60BE42" w14:textId="77777777" w:rsidR="00107E8F" w:rsidRPr="00223F1E" w:rsidRDefault="00107E8F" w:rsidP="00107E8F">
      <w:pPr>
        <w:pStyle w:val="DFARS"/>
        <w:rPr>
          <w:rFonts w:cs="Courier New"/>
          <w:b/>
          <w:iCs/>
          <w:szCs w:val="24"/>
        </w:rPr>
      </w:pPr>
      <w:r>
        <w:rPr>
          <w:rFonts w:cs="Courier New"/>
          <w:b/>
          <w:iCs/>
          <w:szCs w:val="24"/>
        </w:rPr>
        <w:lastRenderedPageBreak/>
        <w:t>252.223</w:t>
      </w:r>
      <w:r w:rsidRPr="00223F1E">
        <w:rPr>
          <w:rFonts w:cs="Courier New"/>
          <w:b/>
          <w:iCs/>
          <w:szCs w:val="24"/>
        </w:rPr>
        <w:t>-</w:t>
      </w:r>
      <w:proofErr w:type="gramStart"/>
      <w:r w:rsidRPr="00223F1E">
        <w:rPr>
          <w:rFonts w:cs="Courier New"/>
          <w:b/>
          <w:iCs/>
          <w:szCs w:val="24"/>
        </w:rPr>
        <w:t>7</w:t>
      </w:r>
      <w:r>
        <w:rPr>
          <w:rFonts w:cs="Courier New"/>
          <w:b/>
          <w:iCs/>
          <w:szCs w:val="24"/>
        </w:rPr>
        <w:t>998</w:t>
      </w:r>
      <w:r w:rsidRPr="00223F1E">
        <w:rPr>
          <w:rFonts w:cs="Courier New"/>
          <w:b/>
          <w:iCs/>
          <w:szCs w:val="24"/>
        </w:rPr>
        <w:t xml:space="preserve">  </w:t>
      </w:r>
      <w:r>
        <w:rPr>
          <w:rFonts w:cs="Courier New"/>
          <w:b/>
          <w:iCs/>
          <w:szCs w:val="24"/>
        </w:rPr>
        <w:t>Prohibition</w:t>
      </w:r>
      <w:proofErr w:type="gramEnd"/>
      <w:r w:rsidRPr="00006D0B">
        <w:rPr>
          <w:rFonts w:cs="Courier New"/>
          <w:b/>
          <w:iCs/>
          <w:szCs w:val="24"/>
        </w:rPr>
        <w:t xml:space="preserve"> on Procurement of Certain Items Containing </w:t>
      </w:r>
      <w:proofErr w:type="spellStart"/>
      <w:r w:rsidRPr="00006D0B">
        <w:rPr>
          <w:rFonts w:cs="Courier New"/>
          <w:b/>
          <w:iCs/>
          <w:szCs w:val="24"/>
        </w:rPr>
        <w:t>Perfluorooctane</w:t>
      </w:r>
      <w:proofErr w:type="spellEnd"/>
      <w:r w:rsidRPr="00006D0B">
        <w:rPr>
          <w:rFonts w:cs="Courier New"/>
          <w:b/>
          <w:iCs/>
          <w:szCs w:val="24"/>
        </w:rPr>
        <w:t xml:space="preserve"> Sulfonate or </w:t>
      </w:r>
      <w:proofErr w:type="spellStart"/>
      <w:r w:rsidRPr="00006D0B">
        <w:rPr>
          <w:rFonts w:cs="Courier New"/>
          <w:b/>
          <w:iCs/>
          <w:szCs w:val="24"/>
        </w:rPr>
        <w:t>Perfluorooctanoic</w:t>
      </w:r>
      <w:proofErr w:type="spellEnd"/>
      <w:r w:rsidRPr="00006D0B">
        <w:rPr>
          <w:rFonts w:cs="Courier New"/>
          <w:b/>
          <w:iCs/>
          <w:szCs w:val="24"/>
        </w:rPr>
        <w:t xml:space="preserve"> Acid</w:t>
      </w:r>
      <w:r w:rsidRPr="00223F1E">
        <w:rPr>
          <w:rFonts w:cs="Courier New"/>
          <w:b/>
          <w:iCs/>
          <w:szCs w:val="24"/>
        </w:rPr>
        <w:t>.</w:t>
      </w:r>
    </w:p>
    <w:p w14:paraId="236FB38F" w14:textId="77777777" w:rsidR="00107E8F" w:rsidRPr="00223F1E" w:rsidRDefault="00107E8F" w:rsidP="00107E8F">
      <w:pPr>
        <w:pStyle w:val="DFARS"/>
        <w:rPr>
          <w:rFonts w:cs="Courier New"/>
          <w:bCs/>
          <w:iCs/>
          <w:szCs w:val="24"/>
        </w:rPr>
      </w:pPr>
    </w:p>
    <w:p w14:paraId="0F4836AA" w14:textId="77777777" w:rsidR="00636041" w:rsidRDefault="00107E8F" w:rsidP="00107E8F">
      <w:pPr>
        <w:pStyle w:val="DFARS"/>
        <w:rPr>
          <w:rFonts w:cs="Courier New"/>
          <w:bCs/>
          <w:iCs/>
          <w:szCs w:val="24"/>
        </w:rPr>
      </w:pPr>
      <w:r w:rsidRPr="00754AF8">
        <w:rPr>
          <w:rFonts w:cs="Courier New"/>
          <w:bCs/>
          <w:iCs/>
          <w:szCs w:val="24"/>
        </w:rPr>
        <w:t xml:space="preserve">Effective April 1, 2023, include the following clause in contracts, task orders, delivery orders, and blanket purchase agreement orders including contracts, task orders, delivery orders, and blanket purchase agreement orders, for the acquisition of commercial products (including commercially available off-the-shelf items) and </w:t>
      </w:r>
    </w:p>
    <w:p w14:paraId="6065D6B2" w14:textId="77777777" w:rsidR="00107E8F" w:rsidRPr="00754AF8" w:rsidRDefault="00107E8F" w:rsidP="008643E7">
      <w:pPr>
        <w:pStyle w:val="DFARS"/>
        <w:tabs>
          <w:tab w:val="bar" w:pos="10080"/>
        </w:tabs>
        <w:rPr>
          <w:rFonts w:cs="Courier New"/>
          <w:bCs/>
          <w:iCs/>
          <w:szCs w:val="24"/>
        </w:rPr>
      </w:pPr>
      <w:proofErr w:type="gramStart"/>
      <w:r w:rsidRPr="00754AF8">
        <w:rPr>
          <w:rFonts w:cs="Courier New"/>
          <w:bCs/>
          <w:iCs/>
          <w:szCs w:val="24"/>
        </w:rPr>
        <w:t>commercial</w:t>
      </w:r>
      <w:proofErr w:type="gramEnd"/>
      <w:r w:rsidRPr="00754AF8">
        <w:rPr>
          <w:rFonts w:cs="Courier New"/>
          <w:bCs/>
          <w:iCs/>
          <w:szCs w:val="24"/>
        </w:rPr>
        <w:t xml:space="preserve"> services using FAR part 12 procedures, for acquisition of covered items</w:t>
      </w:r>
      <w:r w:rsidR="00C05EFB">
        <w:rPr>
          <w:rFonts w:cs="Courier New"/>
          <w:bCs/>
          <w:iCs/>
          <w:szCs w:val="24"/>
        </w:rPr>
        <w:t>.</w:t>
      </w:r>
    </w:p>
    <w:p w14:paraId="3DEA5AAF" w14:textId="77777777" w:rsidR="00107E8F" w:rsidRPr="00754AF8" w:rsidRDefault="00107E8F" w:rsidP="00107E8F">
      <w:pPr>
        <w:pStyle w:val="DFARS"/>
        <w:rPr>
          <w:rFonts w:cs="Courier New"/>
          <w:b/>
          <w:iCs/>
          <w:szCs w:val="24"/>
        </w:rPr>
      </w:pPr>
    </w:p>
    <w:p w14:paraId="62A5B441" w14:textId="77777777" w:rsidR="00107E8F" w:rsidRPr="00754AF8" w:rsidRDefault="00107E8F" w:rsidP="00107E8F">
      <w:pPr>
        <w:pStyle w:val="DFARS"/>
        <w:jc w:val="center"/>
        <w:rPr>
          <w:rFonts w:cs="Courier New"/>
          <w:iCs/>
          <w:szCs w:val="24"/>
        </w:rPr>
      </w:pPr>
      <w:r w:rsidRPr="00754AF8">
        <w:rPr>
          <w:rFonts w:cs="Courier New"/>
          <w:iCs/>
          <w:caps/>
          <w:szCs w:val="24"/>
        </w:rPr>
        <w:t>Prohibition on Procurement of Certain Items Containing Perfluorooctane Sulfonate or Perfluorooctanoic Acid</w:t>
      </w:r>
      <w:r w:rsidRPr="00754AF8">
        <w:rPr>
          <w:rFonts w:cs="Courier New"/>
          <w:iCs/>
          <w:szCs w:val="24"/>
        </w:rPr>
        <w:t xml:space="preserve"> (DEVIATION </w:t>
      </w:r>
      <w:r w:rsidRPr="00E617F9">
        <w:t>202</w:t>
      </w:r>
      <w:r>
        <w:t>2</w:t>
      </w:r>
      <w:r w:rsidRPr="00E617F9">
        <w:t>-O</w:t>
      </w:r>
      <w:r>
        <w:t>0010</w:t>
      </w:r>
      <w:r w:rsidRPr="00754AF8">
        <w:rPr>
          <w:rFonts w:cs="Courier New"/>
          <w:iCs/>
          <w:szCs w:val="24"/>
        </w:rPr>
        <w:t>)</w:t>
      </w:r>
    </w:p>
    <w:p w14:paraId="0A0102CD" w14:textId="77777777" w:rsidR="00107E8F" w:rsidRPr="00223F1E" w:rsidRDefault="00107E8F" w:rsidP="00107E8F">
      <w:pPr>
        <w:pStyle w:val="DFARS"/>
        <w:jc w:val="center"/>
        <w:rPr>
          <w:rFonts w:cs="Courier New"/>
          <w:iCs/>
          <w:szCs w:val="24"/>
        </w:rPr>
      </w:pPr>
      <w:r w:rsidRPr="00754AF8">
        <w:rPr>
          <w:rFonts w:cs="Courier New"/>
          <w:iCs/>
          <w:szCs w:val="24"/>
        </w:rPr>
        <w:t xml:space="preserve"> (APR 2023)</w:t>
      </w:r>
    </w:p>
    <w:p w14:paraId="63D51623" w14:textId="77777777" w:rsidR="00107E8F" w:rsidRPr="00223F1E" w:rsidRDefault="00107E8F" w:rsidP="00107E8F">
      <w:pPr>
        <w:pStyle w:val="DFARS"/>
        <w:rPr>
          <w:rFonts w:cs="Courier New"/>
          <w:iCs/>
          <w:szCs w:val="24"/>
        </w:rPr>
      </w:pPr>
    </w:p>
    <w:p w14:paraId="00BF283E" w14:textId="77777777"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r w:rsidRPr="009F6D85">
        <w:rPr>
          <w:rFonts w:ascii="Century Schoolbook" w:hAnsi="Century Schoolbook" w:cs="Courier New"/>
          <w:iCs/>
          <w:sz w:val="24"/>
          <w:szCs w:val="24"/>
        </w:rPr>
        <w:tab/>
        <w:t xml:space="preserve">(a)  Effective April 1, 2023, in accordance with section 333 of the William M. (Mac) Thornberry National Defense Authorization Act for Fiscal Year 2021 (Pub. L. 116-283), the Department of Defense may not procure any covered items that contain </w:t>
      </w:r>
      <w:proofErr w:type="spellStart"/>
      <w:r w:rsidRPr="009F6D85">
        <w:rPr>
          <w:rFonts w:ascii="Century Schoolbook" w:hAnsi="Century Schoolbook" w:cs="Courier New"/>
          <w:iCs/>
          <w:sz w:val="24"/>
          <w:szCs w:val="24"/>
        </w:rPr>
        <w:t>perfluorooctane</w:t>
      </w:r>
      <w:proofErr w:type="spellEnd"/>
      <w:r w:rsidRPr="009F6D85">
        <w:rPr>
          <w:rFonts w:ascii="Century Schoolbook" w:hAnsi="Century Schoolbook" w:cs="Courier New"/>
          <w:iCs/>
          <w:sz w:val="24"/>
          <w:szCs w:val="24"/>
        </w:rPr>
        <w:t xml:space="preserve"> sulfonate (PFOS) or </w:t>
      </w:r>
      <w:proofErr w:type="spellStart"/>
      <w:r w:rsidRPr="009F6D85">
        <w:rPr>
          <w:rFonts w:ascii="Century Schoolbook" w:hAnsi="Century Schoolbook" w:cs="Courier New"/>
          <w:iCs/>
          <w:sz w:val="24"/>
          <w:szCs w:val="24"/>
        </w:rPr>
        <w:t>perfluorooctanoic</w:t>
      </w:r>
      <w:proofErr w:type="spellEnd"/>
      <w:r w:rsidRPr="009F6D85">
        <w:rPr>
          <w:rFonts w:ascii="Century Schoolbook" w:hAnsi="Century Schoolbook" w:cs="Courier New"/>
          <w:iCs/>
          <w:sz w:val="24"/>
          <w:szCs w:val="24"/>
        </w:rPr>
        <w:t xml:space="preserve"> acid (PFOA).  </w:t>
      </w:r>
    </w:p>
    <w:p w14:paraId="407778BD" w14:textId="77777777"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p>
    <w:p w14:paraId="425FB690" w14:textId="77777777"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r w:rsidRPr="009F6D85">
        <w:rPr>
          <w:rFonts w:ascii="Century Schoolbook" w:hAnsi="Century Schoolbook" w:cs="Courier New"/>
          <w:iCs/>
          <w:sz w:val="24"/>
          <w:szCs w:val="24"/>
        </w:rPr>
        <w:tab/>
        <w:t>(b)  A covered item means the following:</w:t>
      </w:r>
    </w:p>
    <w:p w14:paraId="6CEB97B0" w14:textId="77777777"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p>
    <w:p w14:paraId="252731ED" w14:textId="77777777"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r w:rsidRPr="009F6D85">
        <w:rPr>
          <w:rFonts w:ascii="Century Schoolbook" w:hAnsi="Century Schoolbook" w:cs="Courier New"/>
          <w:iCs/>
          <w:sz w:val="24"/>
          <w:szCs w:val="24"/>
        </w:rPr>
        <w:tab/>
      </w:r>
      <w:r w:rsidRPr="009F6D85">
        <w:rPr>
          <w:rFonts w:ascii="Century Schoolbook" w:hAnsi="Century Schoolbook" w:cs="Courier New"/>
          <w:iCs/>
          <w:sz w:val="24"/>
          <w:szCs w:val="24"/>
        </w:rPr>
        <w:tab/>
        <w:t>(1)  Nonstick cookware or cooking utensils for use in galleys or dining facilities.</w:t>
      </w:r>
    </w:p>
    <w:p w14:paraId="6BB315A8" w14:textId="77777777"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p>
    <w:p w14:paraId="5052AF96" w14:textId="77777777"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r w:rsidRPr="009F6D85">
        <w:rPr>
          <w:rFonts w:ascii="Century Schoolbook" w:hAnsi="Century Schoolbook" w:cs="Courier New"/>
          <w:iCs/>
          <w:sz w:val="24"/>
          <w:szCs w:val="24"/>
        </w:rPr>
        <w:tab/>
      </w:r>
      <w:r w:rsidRPr="009F6D85">
        <w:rPr>
          <w:rFonts w:ascii="Century Schoolbook" w:hAnsi="Century Schoolbook" w:cs="Courier New"/>
          <w:iCs/>
          <w:sz w:val="24"/>
          <w:szCs w:val="24"/>
        </w:rPr>
        <w:tab/>
        <w:t>(2)  Upholstered furniture, carpets, and rugs that have been treated with stain-resistant coatings.</w:t>
      </w:r>
    </w:p>
    <w:p w14:paraId="0F26FA84" w14:textId="77777777" w:rsidR="00107E8F" w:rsidRPr="009F6D85" w:rsidRDefault="00107E8F" w:rsidP="009F6D85">
      <w:pPr>
        <w:tabs>
          <w:tab w:val="left" w:pos="360"/>
          <w:tab w:val="left" w:pos="806"/>
          <w:tab w:val="left" w:pos="1210"/>
          <w:tab w:val="left" w:pos="1656"/>
        </w:tabs>
        <w:autoSpaceDE w:val="0"/>
        <w:autoSpaceDN w:val="0"/>
        <w:adjustRightInd w:val="0"/>
        <w:spacing w:after="0" w:line="240" w:lineRule="exact"/>
        <w:rPr>
          <w:rFonts w:ascii="Century Schoolbook" w:hAnsi="Century Schoolbook" w:cs="Courier New"/>
          <w:iCs/>
          <w:sz w:val="24"/>
          <w:szCs w:val="24"/>
        </w:rPr>
      </w:pPr>
    </w:p>
    <w:p w14:paraId="65655871" w14:textId="77777777" w:rsidR="00107E8F" w:rsidRDefault="00107E8F" w:rsidP="00C05EFB">
      <w:pPr>
        <w:pStyle w:val="DFARS"/>
        <w:rPr>
          <w:rFonts w:cs="Courier New"/>
          <w:iCs/>
          <w:szCs w:val="24"/>
        </w:rPr>
      </w:pPr>
      <w:r w:rsidRPr="00223F1E">
        <w:rPr>
          <w:rFonts w:cs="Courier New"/>
          <w:iCs/>
          <w:szCs w:val="24"/>
        </w:rPr>
        <w:tab/>
        <w:t>(</w:t>
      </w:r>
      <w:r>
        <w:rPr>
          <w:rFonts w:cs="Courier New"/>
          <w:iCs/>
          <w:szCs w:val="24"/>
        </w:rPr>
        <w:t>c</w:t>
      </w:r>
      <w:r w:rsidRPr="00223F1E">
        <w:rPr>
          <w:rFonts w:cs="Courier New"/>
          <w:iCs/>
          <w:szCs w:val="24"/>
        </w:rPr>
        <w:t xml:space="preserve">)  </w:t>
      </w:r>
      <w:r>
        <w:rPr>
          <w:rFonts w:cs="Courier New"/>
          <w:iCs/>
          <w:szCs w:val="24"/>
        </w:rPr>
        <w:t xml:space="preserve">The Contractor shall not </w:t>
      </w:r>
      <w:r w:rsidRPr="00223F1E">
        <w:rPr>
          <w:rFonts w:cs="Courier New"/>
          <w:iCs/>
          <w:szCs w:val="24"/>
        </w:rPr>
        <w:t>provid</w:t>
      </w:r>
      <w:r>
        <w:rPr>
          <w:rFonts w:cs="Courier New"/>
          <w:iCs/>
          <w:szCs w:val="24"/>
        </w:rPr>
        <w:t>e</w:t>
      </w:r>
      <w:r w:rsidRPr="00223F1E">
        <w:rPr>
          <w:rFonts w:cs="Courier New"/>
          <w:iCs/>
          <w:szCs w:val="24"/>
        </w:rPr>
        <w:t xml:space="preserve"> </w:t>
      </w:r>
      <w:r>
        <w:rPr>
          <w:rFonts w:cs="Courier New"/>
          <w:iCs/>
          <w:szCs w:val="24"/>
        </w:rPr>
        <w:t>any covered items containing PFOS or PFOA in performance of this contract, task order, delivery order, or blanket purchase agreement order.</w:t>
      </w:r>
    </w:p>
    <w:p w14:paraId="7BFED39E" w14:textId="77777777" w:rsidR="00107E8F" w:rsidRDefault="00107E8F">
      <w:pPr>
        <w:pStyle w:val="DFARS"/>
        <w:rPr>
          <w:rFonts w:cs="Courier New"/>
          <w:iCs/>
          <w:szCs w:val="24"/>
        </w:rPr>
      </w:pPr>
    </w:p>
    <w:p w14:paraId="7A095C2A" w14:textId="77777777" w:rsidR="00107E8F" w:rsidRDefault="00107E8F">
      <w:pPr>
        <w:pStyle w:val="DFARS"/>
        <w:rPr>
          <w:rFonts w:cs="Courier New"/>
          <w:iCs/>
          <w:szCs w:val="24"/>
        </w:rPr>
      </w:pPr>
      <w:r>
        <w:rPr>
          <w:rFonts w:cs="Courier New"/>
          <w:iCs/>
          <w:szCs w:val="24"/>
        </w:rPr>
        <w:tab/>
        <w:t>(d)  The Contractor shall include the substance of this clause, including this paragraph (d), in subcontracts for any covered item, including subcontracts for commercial products (including commercially available off-the-shelf items) and commercial services.</w:t>
      </w:r>
    </w:p>
    <w:p w14:paraId="5421BC8E" w14:textId="77777777" w:rsidR="00107E8F" w:rsidRPr="00223F1E" w:rsidRDefault="00107E8F">
      <w:pPr>
        <w:pStyle w:val="DFARS"/>
        <w:rPr>
          <w:rFonts w:cs="Courier New"/>
          <w:iCs/>
          <w:szCs w:val="24"/>
        </w:rPr>
      </w:pPr>
    </w:p>
    <w:p w14:paraId="2D4B72D2" w14:textId="77777777" w:rsidR="00107E8F" w:rsidRPr="00223F1E" w:rsidRDefault="00107E8F">
      <w:pPr>
        <w:pStyle w:val="DFARS"/>
        <w:tabs>
          <w:tab w:val="clear" w:pos="810"/>
          <w:tab w:val="left" w:pos="806"/>
        </w:tabs>
        <w:jc w:val="center"/>
        <w:rPr>
          <w:rFonts w:cs="Courier New"/>
          <w:iCs/>
          <w:szCs w:val="24"/>
        </w:rPr>
      </w:pPr>
      <w:r w:rsidRPr="00223F1E">
        <w:rPr>
          <w:rFonts w:cs="Courier New"/>
          <w:iCs/>
          <w:szCs w:val="24"/>
        </w:rPr>
        <w:t xml:space="preserve">(End of </w:t>
      </w:r>
      <w:r>
        <w:rPr>
          <w:rFonts w:cs="Courier New"/>
          <w:iCs/>
          <w:szCs w:val="24"/>
        </w:rPr>
        <w:t>clause</w:t>
      </w:r>
      <w:r w:rsidRPr="00223F1E">
        <w:rPr>
          <w:rFonts w:cs="Courier New"/>
          <w:iCs/>
          <w:szCs w:val="24"/>
        </w:rPr>
        <w:t>)</w:t>
      </w:r>
    </w:p>
    <w:p w14:paraId="4280B6F5" w14:textId="77777777" w:rsidR="00107E8F" w:rsidRDefault="00107E8F" w:rsidP="009F6D85">
      <w:pPr>
        <w:spacing w:after="0" w:line="240" w:lineRule="exact"/>
      </w:pPr>
    </w:p>
    <w:sectPr w:rsidR="00107E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DBC8B" w14:textId="77777777" w:rsidR="00107E8F" w:rsidRDefault="00107E8F" w:rsidP="00107E8F">
      <w:pPr>
        <w:spacing w:after="0" w:line="240" w:lineRule="auto"/>
      </w:pPr>
      <w:r>
        <w:separator/>
      </w:r>
    </w:p>
  </w:endnote>
  <w:endnote w:type="continuationSeparator" w:id="0">
    <w:p w14:paraId="4932FDFB" w14:textId="77777777" w:rsidR="00107E8F" w:rsidRDefault="00107E8F" w:rsidP="0010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10334" w14:textId="77777777" w:rsidR="00107E8F" w:rsidRDefault="00107E8F" w:rsidP="00107E8F">
      <w:pPr>
        <w:spacing w:after="0" w:line="240" w:lineRule="auto"/>
      </w:pPr>
      <w:r>
        <w:separator/>
      </w:r>
    </w:p>
  </w:footnote>
  <w:footnote w:type="continuationSeparator" w:id="0">
    <w:p w14:paraId="00DC5ABA" w14:textId="77777777" w:rsidR="00107E8F" w:rsidRDefault="00107E8F" w:rsidP="00107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966A6" w14:textId="77777777" w:rsidR="00C05EFB" w:rsidRPr="00223F1E" w:rsidRDefault="00C05EFB" w:rsidP="00C05EFB">
    <w:pPr>
      <w:pStyle w:val="DFARS"/>
      <w:spacing w:line="240" w:lineRule="auto"/>
      <w:jc w:val="right"/>
      <w:rPr>
        <w:szCs w:val="24"/>
      </w:rPr>
    </w:pPr>
    <w:r w:rsidRPr="00223F1E">
      <w:rPr>
        <w:szCs w:val="24"/>
      </w:rPr>
      <w:t>Attachment 1</w:t>
    </w:r>
  </w:p>
  <w:p w14:paraId="4133CF56" w14:textId="77777777" w:rsidR="00C05EFB" w:rsidRPr="00223F1E" w:rsidRDefault="00C05EFB" w:rsidP="00C05EFB">
    <w:pPr>
      <w:pStyle w:val="DFARS"/>
      <w:spacing w:line="240" w:lineRule="auto"/>
      <w:jc w:val="right"/>
      <w:rPr>
        <w:szCs w:val="24"/>
      </w:rPr>
    </w:pPr>
    <w:r>
      <w:rPr>
        <w:szCs w:val="24"/>
      </w:rPr>
      <w:t xml:space="preserve">Class </w:t>
    </w:r>
    <w:r w:rsidRPr="00223F1E">
      <w:rPr>
        <w:szCs w:val="24"/>
      </w:rPr>
      <w:t xml:space="preserve">Deviation </w:t>
    </w:r>
    <w:r w:rsidRPr="00E617F9">
      <w:t>202</w:t>
    </w:r>
    <w:r>
      <w:t>2</w:t>
    </w:r>
    <w:r w:rsidRPr="00E617F9">
      <w:t>-O</w:t>
    </w:r>
    <w:r>
      <w:t>0010, Revision 1</w:t>
    </w:r>
  </w:p>
  <w:p w14:paraId="7BA5F8B2" w14:textId="77777777" w:rsidR="00C05EFB" w:rsidRDefault="00C05EFB" w:rsidP="00C05EFB">
    <w:pPr>
      <w:pStyle w:val="Header"/>
      <w:jc w:val="right"/>
      <w:rPr>
        <w:rFonts w:ascii="Century Schoolbook" w:hAnsi="Century Schoolbook"/>
      </w:rPr>
    </w:pPr>
    <w:r>
      <w:rPr>
        <w:rFonts w:ascii="Century Schoolbook" w:hAnsi="Century Schoolbook"/>
      </w:rPr>
      <w:t>Prohibi</w:t>
    </w:r>
    <w:r w:rsidRPr="00006D0B">
      <w:rPr>
        <w:rFonts w:ascii="Century Schoolbook" w:hAnsi="Century Schoolbook"/>
      </w:rPr>
      <w:t xml:space="preserve">tion on Procurement of Certain Items Containing </w:t>
    </w:r>
    <w:proofErr w:type="spellStart"/>
    <w:r w:rsidRPr="00006D0B">
      <w:rPr>
        <w:rFonts w:ascii="Century Schoolbook" w:hAnsi="Century Schoolbook"/>
      </w:rPr>
      <w:t>Perfluorooctane</w:t>
    </w:r>
    <w:proofErr w:type="spellEnd"/>
    <w:r w:rsidRPr="00006D0B">
      <w:rPr>
        <w:rFonts w:ascii="Century Schoolbook" w:hAnsi="Century Schoolbook"/>
      </w:rPr>
      <w:t xml:space="preserve"> </w:t>
    </w:r>
  </w:p>
  <w:p w14:paraId="2942B86E" w14:textId="77777777" w:rsidR="00C05EFB" w:rsidRPr="00223F1E" w:rsidRDefault="00C05EFB" w:rsidP="00C05EFB">
    <w:pPr>
      <w:pStyle w:val="Header"/>
      <w:jc w:val="right"/>
      <w:rPr>
        <w:rFonts w:ascii="Century Schoolbook" w:hAnsi="Century Schoolbook"/>
      </w:rPr>
    </w:pPr>
    <w:r w:rsidRPr="00006D0B">
      <w:rPr>
        <w:rFonts w:ascii="Century Schoolbook" w:hAnsi="Century Schoolbook"/>
      </w:rPr>
      <w:t xml:space="preserve">Sulfonate or </w:t>
    </w:r>
    <w:proofErr w:type="spellStart"/>
    <w:r w:rsidRPr="00006D0B">
      <w:rPr>
        <w:rFonts w:ascii="Century Schoolbook" w:hAnsi="Century Schoolbook"/>
      </w:rPr>
      <w:t>Perfluorooctanoic</w:t>
    </w:r>
    <w:proofErr w:type="spellEnd"/>
    <w:r w:rsidRPr="00006D0B">
      <w:rPr>
        <w:rFonts w:ascii="Century Schoolbook" w:hAnsi="Century Schoolbook"/>
      </w:rPr>
      <w:t xml:space="preserve"> Acid</w:t>
    </w:r>
  </w:p>
  <w:p w14:paraId="7FAA1FDC" w14:textId="77777777" w:rsidR="00C05EFB" w:rsidRDefault="00C05EFB" w:rsidP="009F6D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B17D0"/>
    <w:multiLevelType w:val="hybridMultilevel"/>
    <w:tmpl w:val="D4CC359E"/>
    <w:lvl w:ilvl="0" w:tplc="3E744F04">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8F"/>
    <w:rsid w:val="00107E8F"/>
    <w:rsid w:val="00375A92"/>
    <w:rsid w:val="00636041"/>
    <w:rsid w:val="006B20EA"/>
    <w:rsid w:val="008643E7"/>
    <w:rsid w:val="009F6D85"/>
    <w:rsid w:val="00C05EFB"/>
    <w:rsid w:val="00FF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B36D"/>
  <w15:chartTrackingRefBased/>
  <w15:docId w15:val="{D2FB392A-A62B-477B-8F42-6BD3D82F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7E8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07E8F"/>
    <w:rPr>
      <w:rFonts w:ascii="Times New Roman" w:eastAsia="Times New Roman" w:hAnsi="Times New Roman" w:cs="Times New Roman"/>
      <w:sz w:val="24"/>
      <w:szCs w:val="24"/>
    </w:rPr>
  </w:style>
  <w:style w:type="paragraph" w:customStyle="1" w:styleId="DFARS">
    <w:name w:val="DFARS"/>
    <w:basedOn w:val="Normal"/>
    <w:rsid w:val="00107E8F"/>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styleId="Footer">
    <w:name w:val="footer"/>
    <w:basedOn w:val="Normal"/>
    <w:link w:val="FooterChar"/>
    <w:uiPriority w:val="99"/>
    <w:unhideWhenUsed/>
    <w:rsid w:val="00107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8F"/>
  </w:style>
  <w:style w:type="paragraph" w:styleId="ListParagraph">
    <w:name w:val="List Paragraph"/>
    <w:basedOn w:val="Normal"/>
    <w:uiPriority w:val="34"/>
    <w:qFormat/>
    <w:rsid w:val="00107E8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EFB"/>
    <w:rPr>
      <w:rFonts w:ascii="Segoe UI" w:hAnsi="Segoe UI" w:cs="Segoe UI"/>
      <w:sz w:val="18"/>
      <w:szCs w:val="18"/>
    </w:rPr>
  </w:style>
  <w:style w:type="character" w:styleId="CommentReference">
    <w:name w:val="annotation reference"/>
    <w:basedOn w:val="DefaultParagraphFont"/>
    <w:uiPriority w:val="99"/>
    <w:semiHidden/>
    <w:unhideWhenUsed/>
    <w:rsid w:val="00636041"/>
    <w:rPr>
      <w:sz w:val="16"/>
      <w:szCs w:val="16"/>
    </w:rPr>
  </w:style>
  <w:style w:type="paragraph" w:styleId="CommentText">
    <w:name w:val="annotation text"/>
    <w:basedOn w:val="Normal"/>
    <w:link w:val="CommentTextChar"/>
    <w:uiPriority w:val="99"/>
    <w:semiHidden/>
    <w:unhideWhenUsed/>
    <w:rsid w:val="00636041"/>
    <w:pPr>
      <w:spacing w:line="240" w:lineRule="auto"/>
    </w:pPr>
    <w:rPr>
      <w:sz w:val="20"/>
      <w:szCs w:val="20"/>
    </w:rPr>
  </w:style>
  <w:style w:type="character" w:customStyle="1" w:styleId="CommentTextChar">
    <w:name w:val="Comment Text Char"/>
    <w:basedOn w:val="DefaultParagraphFont"/>
    <w:link w:val="CommentText"/>
    <w:uiPriority w:val="99"/>
    <w:semiHidden/>
    <w:rsid w:val="00636041"/>
    <w:rPr>
      <w:sz w:val="20"/>
      <w:szCs w:val="20"/>
    </w:rPr>
  </w:style>
  <w:style w:type="paragraph" w:styleId="CommentSubject">
    <w:name w:val="annotation subject"/>
    <w:basedOn w:val="CommentText"/>
    <w:next w:val="CommentText"/>
    <w:link w:val="CommentSubjectChar"/>
    <w:uiPriority w:val="99"/>
    <w:semiHidden/>
    <w:unhideWhenUsed/>
    <w:rsid w:val="00636041"/>
    <w:rPr>
      <w:b/>
      <w:bCs/>
    </w:rPr>
  </w:style>
  <w:style w:type="character" w:customStyle="1" w:styleId="CommentSubjectChar">
    <w:name w:val="Comment Subject Char"/>
    <w:basedOn w:val="CommentTextChar"/>
    <w:link w:val="CommentSubject"/>
    <w:uiPriority w:val="99"/>
    <w:semiHidden/>
    <w:rsid w:val="006360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Neilson, Linda W SES OSD OUSD A-S (USA)</dc:creator>
  <cp:keywords/>
  <dc:description/>
  <cp:lastModifiedBy>Trujillo, Barbara J CIV OSD OUSD A-S (USA)</cp:lastModifiedBy>
  <cp:revision>2</cp:revision>
  <dcterms:created xsi:type="dcterms:W3CDTF">2022-12-20T19:32:00Z</dcterms:created>
  <dcterms:modified xsi:type="dcterms:W3CDTF">2022-12-20T19:32:00Z</dcterms:modified>
</cp:coreProperties>
</file>