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A624" w14:textId="456115C6" w:rsidR="002979B5" w:rsidRPr="00413707" w:rsidRDefault="002979B5" w:rsidP="00413707">
      <w:pPr>
        <w:spacing w:after="240"/>
        <w:rPr>
          <w:b/>
        </w:rPr>
      </w:pPr>
      <w:r w:rsidRPr="00413707">
        <w:rPr>
          <w:b/>
        </w:rPr>
        <w:t>Procedures—Prohibition on Providing Funds to the Enemy</w:t>
      </w:r>
      <w:r w:rsidR="002E7145" w:rsidRPr="00413707">
        <w:rPr>
          <w:b/>
        </w:rPr>
        <w:t xml:space="preserve"> and Authorization </w:t>
      </w:r>
      <w:r w:rsidR="008905DC">
        <w:rPr>
          <w:b/>
        </w:rPr>
        <w:t>for</w:t>
      </w:r>
      <w:r w:rsidR="008905DC" w:rsidRPr="00413707">
        <w:rPr>
          <w:b/>
        </w:rPr>
        <w:t xml:space="preserve"> </w:t>
      </w:r>
      <w:r w:rsidR="002E7145" w:rsidRPr="00413707">
        <w:rPr>
          <w:b/>
        </w:rPr>
        <w:t>Additional Access to Records</w:t>
      </w:r>
    </w:p>
    <w:p w14:paraId="695C72D7" w14:textId="14E5822D" w:rsidR="00F420A9" w:rsidRPr="00392EA7" w:rsidRDefault="006B682E" w:rsidP="00413707">
      <w:pPr>
        <w:pStyle w:val="ListParagraph"/>
        <w:numPr>
          <w:ilvl w:val="0"/>
          <w:numId w:val="20"/>
        </w:numPr>
        <w:spacing w:after="240"/>
        <w:contextualSpacing w:val="0"/>
      </w:pPr>
      <w:r w:rsidRPr="00392EA7">
        <w:t>United States Africa Command (USAFRICOM), United States Central Command (USCENTCOM), United States European Command (USEUCOM), United States</w:t>
      </w:r>
      <w:r w:rsidR="00743831">
        <w:t xml:space="preserve"> </w:t>
      </w:r>
      <w:r w:rsidR="00743831" w:rsidRPr="0016719A">
        <w:t>Indo-</w:t>
      </w:r>
      <w:r w:rsidRPr="0016719A">
        <w:t>Pacific Command (US</w:t>
      </w:r>
      <w:r w:rsidR="00743831" w:rsidRPr="0016719A">
        <w:t>INDO</w:t>
      </w:r>
      <w:r w:rsidRPr="0016719A">
        <w:t>PACOM),</w:t>
      </w:r>
      <w:r w:rsidRPr="00392EA7">
        <w:t xml:space="preserve"> United States Southern Command (USSOUTHCOM), </w:t>
      </w:r>
      <w:r w:rsidR="00CA49BD">
        <w:t>and</w:t>
      </w:r>
      <w:r w:rsidRPr="00392EA7">
        <w:t xml:space="preserve"> United States Transportation Command (USTRANSCOM) Commanders</w:t>
      </w:r>
      <w:r w:rsidR="001D5929">
        <w:t>, or deputy commanders,</w:t>
      </w:r>
      <w:r w:rsidRPr="00392EA7">
        <w:t xml:space="preserve"> will i</w:t>
      </w:r>
      <w:r w:rsidR="00F420A9" w:rsidRPr="00392EA7">
        <w:t xml:space="preserve">dentify persons and entities within the area of responsibility of such command </w:t>
      </w:r>
      <w:bookmarkStart w:id="0" w:name="H3BBF33F6AD73468C8D759C38D471ABFD"/>
      <w:bookmarkEnd w:id="0"/>
      <w:r w:rsidR="00EF4A58" w:rsidRPr="00392EA7">
        <w:t>that—</w:t>
      </w:r>
    </w:p>
    <w:p w14:paraId="1AAE920D" w14:textId="77777777" w:rsidR="00F420A9" w:rsidRPr="00392EA7" w:rsidRDefault="006B682E" w:rsidP="00413707">
      <w:pPr>
        <w:pStyle w:val="ListParagraph"/>
        <w:numPr>
          <w:ilvl w:val="0"/>
          <w:numId w:val="10"/>
        </w:numPr>
        <w:tabs>
          <w:tab w:val="left" w:pos="1080"/>
          <w:tab w:val="left" w:pos="1260"/>
        </w:tabs>
        <w:spacing w:after="240"/>
        <w:ind w:left="1080"/>
        <w:contextualSpacing w:val="0"/>
      </w:pPr>
      <w:r w:rsidRPr="00392EA7">
        <w:t>P</w:t>
      </w:r>
      <w:r w:rsidR="00F420A9" w:rsidRPr="00392EA7">
        <w:t>rovide funds, including goods and services, received under a covered contract, grant, or cooperative agreement of an executive agency directly or indirectly to a person or entity</w:t>
      </w:r>
      <w:r w:rsidR="00CA49BD">
        <w:t xml:space="preserve"> that is actively opposing United States or coalition forces involved in a contingency operation in which members of the Armed Forces are actively engaged in hostilities</w:t>
      </w:r>
      <w:r w:rsidR="00F420A9" w:rsidRPr="00392EA7">
        <w:t>; or</w:t>
      </w:r>
    </w:p>
    <w:p w14:paraId="3625BE70" w14:textId="77777777" w:rsidR="00F420A9" w:rsidRPr="00392EA7" w:rsidRDefault="00EF4A58" w:rsidP="00413707">
      <w:pPr>
        <w:pStyle w:val="ListParagraph"/>
        <w:numPr>
          <w:ilvl w:val="0"/>
          <w:numId w:val="10"/>
        </w:numPr>
        <w:tabs>
          <w:tab w:val="left" w:pos="1080"/>
          <w:tab w:val="left" w:pos="1260"/>
        </w:tabs>
        <w:spacing w:after="240"/>
        <w:ind w:left="1080"/>
        <w:contextualSpacing w:val="0"/>
      </w:pPr>
      <w:bookmarkStart w:id="1" w:name="HB2204E25235E4CFC811BE7FC1B4E22C9"/>
      <w:bookmarkEnd w:id="1"/>
      <w:r w:rsidRPr="00392EA7">
        <w:t>F</w:t>
      </w:r>
      <w:r w:rsidR="00F420A9" w:rsidRPr="00392EA7">
        <w:t>ail to exercise due diligence to ensure that none of the funds, including goods and services, received under a covered contract, grant, or cooperative agreement of an executive agency are provided directly or indirectly to a person or entit</w:t>
      </w:r>
      <w:r w:rsidR="00CA49BD">
        <w:t>y that is actively opposing United States or coalition forces involved in a contingency operation in which members of the Armed Forces are actively engaged in hostilities</w:t>
      </w:r>
      <w:r w:rsidR="00F420A9" w:rsidRPr="00392EA7">
        <w:t>.</w:t>
      </w:r>
    </w:p>
    <w:p w14:paraId="61078DA0" w14:textId="522AA923" w:rsidR="00F420A9" w:rsidRPr="00392EA7" w:rsidRDefault="00F420A9" w:rsidP="00413707">
      <w:pPr>
        <w:pStyle w:val="ListParagraph"/>
        <w:numPr>
          <w:ilvl w:val="0"/>
          <w:numId w:val="20"/>
        </w:numPr>
        <w:spacing w:after="240"/>
        <w:contextualSpacing w:val="0"/>
      </w:pPr>
      <w:r w:rsidRPr="00392EA7">
        <w:t xml:space="preserve">Upon the identification of a person or entity as described above, </w:t>
      </w:r>
      <w:r w:rsidR="00EF4A58" w:rsidRPr="00392EA7">
        <w:t>the combatant commander</w:t>
      </w:r>
      <w:r w:rsidR="001D5929">
        <w:t xml:space="preserve"> or deputy commander</w:t>
      </w:r>
      <w:r w:rsidR="00EF4A58" w:rsidRPr="00392EA7">
        <w:t xml:space="preserve"> </w:t>
      </w:r>
      <w:r w:rsidR="00751A73" w:rsidRPr="00392EA7">
        <w:t>will</w:t>
      </w:r>
      <w:r w:rsidR="00EF4A58" w:rsidRPr="00392EA7">
        <w:t>, in consultation with the Under Secretary of Defense for Policy, the Under Secretary of Defense for Acquisition</w:t>
      </w:r>
      <w:r w:rsidR="00E47658">
        <w:t xml:space="preserve"> and Sustainment (USD(A&amp;S))</w:t>
      </w:r>
      <w:r w:rsidR="00EF4A58" w:rsidRPr="00392EA7">
        <w:t>, and the appropriate Chief</w:t>
      </w:r>
      <w:r w:rsidR="00EF3BA6">
        <w:t>s</w:t>
      </w:r>
      <w:r w:rsidR="00EF4A58" w:rsidRPr="00392EA7">
        <w:t xml:space="preserve"> of Mission, notify in writing </w:t>
      </w:r>
      <w:r w:rsidR="001D5929">
        <w:t xml:space="preserve">Defense Pricing and Contracting (DPC), Contract Policy and </w:t>
      </w:r>
      <w:r w:rsidRPr="00392EA7">
        <w:t>the</w:t>
      </w:r>
      <w:r w:rsidR="00EF4A58" w:rsidRPr="00392EA7">
        <w:t xml:space="preserve"> appropriate heads of </w:t>
      </w:r>
      <w:r w:rsidR="001D5929">
        <w:t xml:space="preserve">the </w:t>
      </w:r>
      <w:r w:rsidR="00EF4A58" w:rsidRPr="00392EA7">
        <w:t>contracting activit</w:t>
      </w:r>
      <w:r w:rsidR="00EF3BA6">
        <w:t>y</w:t>
      </w:r>
      <w:r w:rsidRPr="00392EA7">
        <w:t xml:space="preserve"> </w:t>
      </w:r>
      <w:r w:rsidR="00EF4A58" w:rsidRPr="00392EA7">
        <w:t>(HCA</w:t>
      </w:r>
      <w:r w:rsidR="001D5929">
        <w:t>s</w:t>
      </w:r>
      <w:r w:rsidR="00EF4A58" w:rsidRPr="00392EA7">
        <w:t xml:space="preserve">) </w:t>
      </w:r>
      <w:r w:rsidRPr="00392EA7">
        <w:t>of such identification of the person or entity.</w:t>
      </w:r>
      <w:r w:rsidR="001D5929">
        <w:t xml:space="preserve">  </w:t>
      </w:r>
      <w:r w:rsidR="001D5929" w:rsidRPr="00771729">
        <w:t xml:space="preserve">Appropriate HCAs </w:t>
      </w:r>
      <w:r w:rsidR="001D5929">
        <w:t xml:space="preserve">may </w:t>
      </w:r>
      <w:r w:rsidR="001D5929" w:rsidRPr="00771729">
        <w:t>include the HCA with purview over the covered contract that was identified as providing funds, goods, or services to the covered person or entity</w:t>
      </w:r>
      <w:r w:rsidR="001D5929">
        <w:t>;</w:t>
      </w:r>
      <w:r w:rsidR="001D5929" w:rsidRPr="00771729">
        <w:t xml:space="preserve"> any HCA with active contracts with the identified person or entity</w:t>
      </w:r>
      <w:r w:rsidR="001D5929">
        <w:t>;</w:t>
      </w:r>
      <w:r w:rsidR="001D5929" w:rsidRPr="00771729">
        <w:t xml:space="preserve"> or any HCA considering awarding a contract to the identified person or entity.  DPC will assist combatant commands with notifying the appropriate HCAs</w:t>
      </w:r>
      <w:r w:rsidR="001D5929">
        <w:t>.</w:t>
      </w:r>
    </w:p>
    <w:p w14:paraId="79D12324" w14:textId="09D2D3CF" w:rsidR="001D0512" w:rsidRPr="00392EA7" w:rsidRDefault="00FA3941" w:rsidP="00413707">
      <w:pPr>
        <w:pStyle w:val="ListParagraph"/>
        <w:numPr>
          <w:ilvl w:val="0"/>
          <w:numId w:val="20"/>
        </w:numPr>
        <w:tabs>
          <w:tab w:val="left" w:pos="720"/>
        </w:tabs>
        <w:spacing w:after="240"/>
        <w:contextualSpacing w:val="0"/>
      </w:pPr>
      <w:r w:rsidRPr="00392EA7">
        <w:t xml:space="preserve">Upon receipt of such </w:t>
      </w:r>
      <w:r w:rsidR="00AA4BE0" w:rsidRPr="00392EA7">
        <w:t>notification,</w:t>
      </w:r>
      <w:r w:rsidRPr="00392EA7">
        <w:t xml:space="preserve"> t</w:t>
      </w:r>
      <w:r w:rsidR="001D0512" w:rsidRPr="00392EA7">
        <w:t xml:space="preserve">he </w:t>
      </w:r>
      <w:r w:rsidR="001D5929">
        <w:t xml:space="preserve">appropriate </w:t>
      </w:r>
      <w:r w:rsidR="001D0512" w:rsidRPr="00392EA7">
        <w:t>HCA</w:t>
      </w:r>
      <w:r w:rsidR="001D5929">
        <w:t>(s)</w:t>
      </w:r>
      <w:r w:rsidR="000D4967" w:rsidRPr="00392EA7">
        <w:t>, without power of redelegation,</w:t>
      </w:r>
      <w:r w:rsidR="00A90E41" w:rsidRPr="00392EA7">
        <w:t xml:space="preserve"> </w:t>
      </w:r>
      <w:r w:rsidRPr="00392EA7">
        <w:t xml:space="preserve">will </w:t>
      </w:r>
      <w:r w:rsidR="009946BF" w:rsidRPr="00392EA7">
        <w:t>exercise th</w:t>
      </w:r>
      <w:r w:rsidR="00810927" w:rsidRPr="00392EA7">
        <w:t>is</w:t>
      </w:r>
      <w:r w:rsidR="009946BF" w:rsidRPr="00392EA7">
        <w:t xml:space="preserve"> authority </w:t>
      </w:r>
      <w:r w:rsidR="00810927" w:rsidRPr="00392EA7">
        <w:t xml:space="preserve">to determine in writing, </w:t>
      </w:r>
      <w:r w:rsidR="006F7937" w:rsidRPr="00392EA7">
        <w:t>whether to—</w:t>
      </w:r>
    </w:p>
    <w:p w14:paraId="673E0B1F" w14:textId="77777777" w:rsidR="001D0512" w:rsidRPr="00392EA7" w:rsidRDefault="006F7937" w:rsidP="00413707">
      <w:pPr>
        <w:pStyle w:val="ListParagraph"/>
        <w:numPr>
          <w:ilvl w:val="0"/>
          <w:numId w:val="10"/>
        </w:numPr>
        <w:tabs>
          <w:tab w:val="left" w:pos="1080"/>
          <w:tab w:val="left" w:pos="1260"/>
        </w:tabs>
        <w:spacing w:after="240"/>
        <w:ind w:left="1080"/>
        <w:contextualSpacing w:val="0"/>
      </w:pPr>
      <w:r w:rsidRPr="00392EA7">
        <w:t>Prohibit</w:t>
      </w:r>
      <w:r w:rsidR="007042E6" w:rsidRPr="00392EA7">
        <w:t>, limit, or otherwise place restrictions on the award of any DoD contracts</w:t>
      </w:r>
      <w:r w:rsidR="001D0512" w:rsidRPr="00392EA7">
        <w:t xml:space="preserve"> </w:t>
      </w:r>
      <w:r w:rsidRPr="00392EA7">
        <w:t xml:space="preserve">to such </w:t>
      </w:r>
      <w:r w:rsidR="007042E6" w:rsidRPr="00392EA7">
        <w:t xml:space="preserve">identified </w:t>
      </w:r>
      <w:r w:rsidRPr="00392EA7">
        <w:t xml:space="preserve">persons or </w:t>
      </w:r>
      <w:proofErr w:type="gramStart"/>
      <w:r w:rsidRPr="00392EA7">
        <w:t>entities;</w:t>
      </w:r>
      <w:proofErr w:type="gramEnd"/>
      <w:r w:rsidRPr="00392EA7">
        <w:t xml:space="preserve"> </w:t>
      </w:r>
    </w:p>
    <w:p w14:paraId="523D8598" w14:textId="662E1CAA" w:rsidR="001D0512" w:rsidRPr="00392EA7" w:rsidRDefault="001D0512" w:rsidP="00413707">
      <w:pPr>
        <w:pStyle w:val="ListParagraph"/>
        <w:numPr>
          <w:ilvl w:val="0"/>
          <w:numId w:val="10"/>
        </w:numPr>
        <w:tabs>
          <w:tab w:val="left" w:pos="1080"/>
          <w:tab w:val="left" w:pos="1260"/>
        </w:tabs>
        <w:spacing w:after="240"/>
        <w:ind w:left="1080"/>
        <w:contextualSpacing w:val="0"/>
      </w:pPr>
      <w:r w:rsidRPr="00392EA7">
        <w:t xml:space="preserve">Terminate for default </w:t>
      </w:r>
      <w:r w:rsidR="00810927" w:rsidRPr="00392EA7">
        <w:t xml:space="preserve">any </w:t>
      </w:r>
      <w:r w:rsidR="00F8073B" w:rsidRPr="00392EA7">
        <w:t>DoD contracts</w:t>
      </w:r>
      <w:r w:rsidR="00CE3760" w:rsidRPr="00392EA7">
        <w:t xml:space="preserve"> </w:t>
      </w:r>
      <w:r w:rsidR="00F8073B" w:rsidRPr="00392EA7">
        <w:t xml:space="preserve">when the HCA determined that the </w:t>
      </w:r>
      <w:r w:rsidRPr="00392EA7">
        <w:t>contractor fail</w:t>
      </w:r>
      <w:r w:rsidR="009B40E8" w:rsidRPr="00392EA7">
        <w:t xml:space="preserve">ed </w:t>
      </w:r>
      <w:r w:rsidRPr="00392EA7">
        <w:t xml:space="preserve">to exercise due diligence </w:t>
      </w:r>
      <w:r w:rsidR="001D5929">
        <w:t xml:space="preserve">(see paragraph (a)(1) of the clause 252.225-7993 of this class deviation) </w:t>
      </w:r>
      <w:r w:rsidRPr="00392EA7">
        <w:t>t</w:t>
      </w:r>
      <w:r w:rsidR="006F7937" w:rsidRPr="00392EA7">
        <w:t>o</w:t>
      </w:r>
      <w:r w:rsidR="00F8073B" w:rsidRPr="00392EA7">
        <w:t xml:space="preserve"> ensure </w:t>
      </w:r>
      <w:r w:rsidR="006F7937" w:rsidRPr="00392EA7">
        <w:t xml:space="preserve">that </w:t>
      </w:r>
      <w:r w:rsidRPr="00392EA7">
        <w:t xml:space="preserve">none of the funds received under the contract </w:t>
      </w:r>
      <w:proofErr w:type="gramStart"/>
      <w:r w:rsidRPr="00392EA7">
        <w:t>are</w:t>
      </w:r>
      <w:proofErr w:type="gramEnd"/>
      <w:r w:rsidRPr="00392EA7">
        <w:t xml:space="preserve"> provided directly or indirectly to </w:t>
      </w:r>
      <w:r w:rsidR="007042E6" w:rsidRPr="00392EA7">
        <w:t xml:space="preserve">such identified </w:t>
      </w:r>
      <w:r w:rsidRPr="00392EA7">
        <w:t>person or entity</w:t>
      </w:r>
      <w:r w:rsidR="007042E6" w:rsidRPr="00392EA7">
        <w:t>; or</w:t>
      </w:r>
    </w:p>
    <w:p w14:paraId="1D3AF030" w14:textId="77777777" w:rsidR="001D0512" w:rsidRPr="00392EA7" w:rsidRDefault="001D0512" w:rsidP="00413707">
      <w:pPr>
        <w:pStyle w:val="ListParagraph"/>
        <w:numPr>
          <w:ilvl w:val="1"/>
          <w:numId w:val="10"/>
        </w:numPr>
        <w:tabs>
          <w:tab w:val="left" w:pos="1080"/>
          <w:tab w:val="left" w:pos="1170"/>
        </w:tabs>
        <w:spacing w:after="240"/>
        <w:ind w:left="1080"/>
        <w:contextualSpacing w:val="0"/>
      </w:pPr>
      <w:r w:rsidRPr="00392EA7">
        <w:lastRenderedPageBreak/>
        <w:t>Void, in whole or in part, any DoD contract that provide</w:t>
      </w:r>
      <w:r w:rsidR="007042E6" w:rsidRPr="00392EA7">
        <w:t>d</w:t>
      </w:r>
      <w:r w:rsidRPr="00392EA7">
        <w:t xml:space="preserve"> fund</w:t>
      </w:r>
      <w:r w:rsidR="00D24167" w:rsidRPr="00392EA7">
        <w:t>s</w:t>
      </w:r>
      <w:r w:rsidR="007042E6" w:rsidRPr="00392EA7">
        <w:t xml:space="preserve"> to such identified</w:t>
      </w:r>
      <w:r w:rsidRPr="00392EA7">
        <w:t xml:space="preserve"> person or entity</w:t>
      </w:r>
      <w:r w:rsidR="007042E6" w:rsidRPr="00392EA7">
        <w:t>.</w:t>
      </w:r>
    </w:p>
    <w:p w14:paraId="791D1E5A" w14:textId="49A784E6" w:rsidR="00751A73" w:rsidRPr="00392EA7" w:rsidRDefault="00751A73" w:rsidP="0041370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240"/>
        <w:contextualSpacing w:val="0"/>
      </w:pPr>
      <w:r w:rsidRPr="00392EA7">
        <w:t xml:space="preserve">The </w:t>
      </w:r>
      <w:r w:rsidR="00BD7A0E">
        <w:t>HCA</w:t>
      </w:r>
      <w:r w:rsidRPr="00392EA7">
        <w:t xml:space="preserve"> taking an action under paragraph </w:t>
      </w:r>
      <w:r w:rsidR="002979B5">
        <w:t>3.</w:t>
      </w:r>
      <w:r w:rsidRPr="00392EA7">
        <w:t xml:space="preserve"> of th</w:t>
      </w:r>
      <w:r w:rsidR="002979B5">
        <w:t>e</w:t>
      </w:r>
      <w:r w:rsidRPr="00392EA7">
        <w:t>s</w:t>
      </w:r>
      <w:r w:rsidR="002979B5">
        <w:t>e procedures</w:t>
      </w:r>
      <w:r w:rsidRPr="00392EA7">
        <w:t xml:space="preserve"> to restrict, terminate, or void a contract shall, in writing, notify the affected contractor of the action.</w:t>
      </w:r>
      <w:r w:rsidR="00743831">
        <w:t xml:space="preserve">  </w:t>
      </w:r>
      <w:r w:rsidRPr="00392EA7">
        <w:t>The notice to the contractor shall inform the contractor</w:t>
      </w:r>
      <w:r w:rsidR="00E82961">
        <w:t xml:space="preserve"> o</w:t>
      </w:r>
      <w:r w:rsidRPr="00392EA7">
        <w:t>f the right to request</w:t>
      </w:r>
      <w:r w:rsidR="00E82961">
        <w:t>, within 30 days,</w:t>
      </w:r>
      <w:r w:rsidRPr="00392EA7">
        <w:t xml:space="preserve"> an administrative review of the action</w:t>
      </w:r>
      <w:r w:rsidR="00E82961">
        <w:t>.</w:t>
      </w:r>
      <w:r w:rsidRPr="00392EA7">
        <w:t xml:space="preserve">  </w:t>
      </w:r>
      <w:r w:rsidR="00FC42B8" w:rsidRPr="008C58C8">
        <w:t xml:space="preserve">If a contractor requests an administrative review of an HCA action </w:t>
      </w:r>
      <w:r w:rsidR="00FC42B8">
        <w:t xml:space="preserve">under paragraph 3 of this class deviation, </w:t>
      </w:r>
      <w:r w:rsidR="00FC42B8" w:rsidRPr="008C58C8">
        <w:t xml:space="preserve">the HCA will </w:t>
      </w:r>
      <w:r w:rsidR="00FC42B8">
        <w:t xml:space="preserve">follow </w:t>
      </w:r>
      <w:r w:rsidR="00FC42B8" w:rsidRPr="008C58C8">
        <w:t>Agency procedures</w:t>
      </w:r>
      <w:r w:rsidR="00FC42B8">
        <w:t xml:space="preserve"> in response to the administrative review.  T</w:t>
      </w:r>
      <w:r w:rsidR="00FC42B8" w:rsidRPr="008C58C8">
        <w:t xml:space="preserve">he </w:t>
      </w:r>
      <w:r w:rsidR="00FC42B8">
        <w:t xml:space="preserve">covered combatant command </w:t>
      </w:r>
      <w:r w:rsidR="00FC42B8" w:rsidRPr="008C58C8">
        <w:t xml:space="preserve">will </w:t>
      </w:r>
      <w:r w:rsidR="00FC42B8">
        <w:t xml:space="preserve">support the HCA through the administrative review process and </w:t>
      </w:r>
      <w:r w:rsidR="00FC42B8" w:rsidRPr="008C58C8">
        <w:t>provide information as required by the HCA</w:t>
      </w:r>
      <w:r w:rsidR="00FC42B8">
        <w:t xml:space="preserve"> </w:t>
      </w:r>
      <w:r w:rsidR="00FC42B8" w:rsidRPr="008C58C8">
        <w:t>to support the administrative review.</w:t>
      </w:r>
      <w:r w:rsidRPr="00392EA7">
        <w:t xml:space="preserve"> </w:t>
      </w:r>
    </w:p>
    <w:p w14:paraId="6D225662" w14:textId="77777777" w:rsidR="00751A73" w:rsidRPr="00392EA7" w:rsidRDefault="00751A73" w:rsidP="0041370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240"/>
        <w:contextualSpacing w:val="0"/>
      </w:pPr>
      <w:r w:rsidRPr="00392EA7">
        <w:t>Classified i</w:t>
      </w:r>
      <w:r w:rsidR="004C2293">
        <w:t xml:space="preserve">nformation relied upon to </w:t>
      </w:r>
      <w:proofErr w:type="gramStart"/>
      <w:r w:rsidR="004C2293">
        <w:t>make a decision</w:t>
      </w:r>
      <w:proofErr w:type="gramEnd"/>
      <w:r w:rsidR="004C2293">
        <w:t xml:space="preserve"> in accordance with paragraph 3. of these procedures</w:t>
      </w:r>
      <w:r w:rsidRPr="00392EA7">
        <w:t xml:space="preserve"> may not be disclosed to a contractor with respect to which an action is taken pursuant to the authority provided in paragraph </w:t>
      </w:r>
      <w:r w:rsidR="00E82961">
        <w:t xml:space="preserve">3. </w:t>
      </w:r>
      <w:r w:rsidR="004C2293">
        <w:t>o</w:t>
      </w:r>
      <w:r w:rsidR="00E82961">
        <w:t>f these procedures</w:t>
      </w:r>
      <w:r w:rsidRPr="00392EA7">
        <w:t>, or to their representatives, in the absence of a protective order issued by a court of competent jurisdiction established under Article I or Article III of the Constitution of the United States that specifically addresses the conditions upon which such classified information may be so disclosed.</w:t>
      </w:r>
    </w:p>
    <w:p w14:paraId="5958D8D3" w14:textId="5C0ADEAA" w:rsidR="00751A73" w:rsidRPr="00392EA7" w:rsidRDefault="00EF3BA6" w:rsidP="0041370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240"/>
        <w:contextualSpacing w:val="0"/>
      </w:pPr>
      <w:r>
        <w:t xml:space="preserve">Senior procurement executives (SPEs) </w:t>
      </w:r>
      <w:r w:rsidR="005068FD" w:rsidRPr="00273BA5">
        <w:t xml:space="preserve">shall establish </w:t>
      </w:r>
      <w:r w:rsidR="005068FD">
        <w:t xml:space="preserve">internal </w:t>
      </w:r>
      <w:r>
        <w:t xml:space="preserve">processes or guidance </w:t>
      </w:r>
      <w:r w:rsidR="005068FD" w:rsidRPr="00273BA5">
        <w:t xml:space="preserve">for restricting future award of contracts under </w:t>
      </w:r>
      <w:proofErr w:type="gramStart"/>
      <w:r w:rsidR="005068FD" w:rsidRPr="00273BA5">
        <w:t>the</w:t>
      </w:r>
      <w:r w:rsidR="005068FD">
        <w:t xml:space="preserve"> their</w:t>
      </w:r>
      <w:proofErr w:type="gramEnd"/>
      <w:r w:rsidR="005068FD">
        <w:t xml:space="preserve"> </w:t>
      </w:r>
      <w:r w:rsidR="005068FD" w:rsidRPr="00273BA5">
        <w:t>purview</w:t>
      </w:r>
      <w:r w:rsidR="005068FD">
        <w:t>.</w:t>
      </w:r>
      <w:r w:rsidR="005068FD" w:rsidRPr="00273BA5">
        <w:t xml:space="preserve">  </w:t>
      </w:r>
      <w:r w:rsidR="00751A73" w:rsidRPr="00392EA7">
        <w:t>Upon determination by the</w:t>
      </w:r>
      <w:r w:rsidR="00BD7A0E">
        <w:t xml:space="preserve"> HCA</w:t>
      </w:r>
      <w:r w:rsidR="00751A73" w:rsidRPr="00392EA7">
        <w:t xml:space="preserve"> to restrict the future award of contracts or subcontracts to a person or entity, the contracting activity</w:t>
      </w:r>
      <w:r>
        <w:t>, through their SPE,</w:t>
      </w:r>
      <w:r w:rsidR="00751A73" w:rsidRPr="00392EA7">
        <w:t xml:space="preserve"> </w:t>
      </w:r>
      <w:r w:rsidR="000F2E7B">
        <w:t xml:space="preserve">shall </w:t>
      </w:r>
      <w:r w:rsidR="00E82961">
        <w:t>notif</w:t>
      </w:r>
      <w:r w:rsidR="000F2E7B">
        <w:t>y</w:t>
      </w:r>
      <w:r w:rsidR="00E47658">
        <w:t xml:space="preserve"> Defense Pricing and Contracting</w:t>
      </w:r>
      <w:r>
        <w:t xml:space="preserve">, </w:t>
      </w:r>
      <w:r w:rsidR="00D752B5">
        <w:t>Contract Policy</w:t>
      </w:r>
      <w:r w:rsidR="00E82961">
        <w:t xml:space="preserve"> and request entry of the </w:t>
      </w:r>
      <w:r w:rsidR="00751A73" w:rsidRPr="00392EA7">
        <w:t xml:space="preserve">required data on the ineligible person or entity in the System for Award Management (SAM) Exclusions as follows (see </w:t>
      </w:r>
      <w:r w:rsidR="00BD7A0E">
        <w:t xml:space="preserve">FAR </w:t>
      </w:r>
      <w:r w:rsidR="00751A73" w:rsidRPr="00392EA7">
        <w:t xml:space="preserve">9.404): </w:t>
      </w:r>
    </w:p>
    <w:p w14:paraId="4082EDCB" w14:textId="77777777" w:rsidR="00751A73" w:rsidRPr="00392EA7" w:rsidRDefault="00751A73" w:rsidP="00413707">
      <w:pPr>
        <w:pStyle w:val="DFARS"/>
        <w:tabs>
          <w:tab w:val="clear" w:pos="360"/>
          <w:tab w:val="clear" w:pos="810"/>
          <w:tab w:val="clear" w:pos="1210"/>
          <w:tab w:val="clear" w:pos="1656"/>
          <w:tab w:val="clear" w:pos="2131"/>
          <w:tab w:val="clear" w:pos="2520"/>
        </w:tabs>
        <w:spacing w:after="240" w:line="240" w:lineRule="auto"/>
        <w:ind w:left="1080"/>
        <w:rPr>
          <w:rFonts w:ascii="Times New Roman" w:hAnsi="Times New Roman"/>
          <w:i/>
          <w:szCs w:val="24"/>
        </w:rPr>
      </w:pPr>
      <w:r w:rsidRPr="00392EA7">
        <w:rPr>
          <w:rFonts w:ascii="Times New Roman" w:hAnsi="Times New Roman"/>
          <w:i/>
          <w:szCs w:val="24"/>
        </w:rPr>
        <w:t>Classification = Special Entity Designation</w:t>
      </w:r>
    </w:p>
    <w:p w14:paraId="79E96819" w14:textId="77777777" w:rsidR="00751A73" w:rsidRPr="00392EA7" w:rsidRDefault="00E82961" w:rsidP="00413707">
      <w:pPr>
        <w:pStyle w:val="DFARS"/>
        <w:tabs>
          <w:tab w:val="clear" w:pos="360"/>
          <w:tab w:val="clear" w:pos="810"/>
          <w:tab w:val="clear" w:pos="1210"/>
          <w:tab w:val="clear" w:pos="1656"/>
          <w:tab w:val="clear" w:pos="2131"/>
          <w:tab w:val="clear" w:pos="2520"/>
        </w:tabs>
        <w:spacing w:after="240" w:line="240" w:lineRule="auto"/>
        <w:ind w:left="108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Agency = DoD</w:t>
      </w:r>
    </w:p>
    <w:p w14:paraId="0A4B81BE" w14:textId="77777777" w:rsidR="00751A73" w:rsidRPr="00250632" w:rsidRDefault="00751A73" w:rsidP="00413707">
      <w:pPr>
        <w:pStyle w:val="DFARS"/>
        <w:tabs>
          <w:tab w:val="clear" w:pos="360"/>
          <w:tab w:val="clear" w:pos="810"/>
          <w:tab w:val="clear" w:pos="1210"/>
          <w:tab w:val="clear" w:pos="1656"/>
          <w:tab w:val="clear" w:pos="2131"/>
          <w:tab w:val="clear" w:pos="2520"/>
        </w:tabs>
        <w:spacing w:after="240" w:line="240" w:lineRule="auto"/>
        <w:ind w:left="1080"/>
        <w:rPr>
          <w:rFonts w:ascii="Times New Roman" w:hAnsi="Times New Roman"/>
          <w:i/>
          <w:szCs w:val="24"/>
        </w:rPr>
      </w:pPr>
      <w:r w:rsidRPr="00250632">
        <w:rPr>
          <w:rFonts w:ascii="Times New Roman" w:hAnsi="Times New Roman"/>
          <w:i/>
          <w:szCs w:val="24"/>
        </w:rPr>
        <w:t>Exclusion Status = Active</w:t>
      </w:r>
    </w:p>
    <w:p w14:paraId="0DBD16D7" w14:textId="77777777" w:rsidR="00751A73" w:rsidRPr="00392EA7" w:rsidRDefault="00751A73" w:rsidP="00413707">
      <w:pPr>
        <w:pStyle w:val="DFARS"/>
        <w:tabs>
          <w:tab w:val="clear" w:pos="360"/>
          <w:tab w:val="clear" w:pos="810"/>
          <w:tab w:val="clear" w:pos="1210"/>
          <w:tab w:val="clear" w:pos="1656"/>
          <w:tab w:val="clear" w:pos="2131"/>
          <w:tab w:val="clear" w:pos="2520"/>
        </w:tabs>
        <w:spacing w:after="240" w:line="240" w:lineRule="auto"/>
        <w:ind w:left="1080"/>
        <w:rPr>
          <w:rFonts w:ascii="Times New Roman" w:hAnsi="Times New Roman"/>
          <w:i/>
          <w:szCs w:val="24"/>
        </w:rPr>
      </w:pPr>
      <w:r w:rsidRPr="00392EA7">
        <w:rPr>
          <w:rFonts w:ascii="Times New Roman" w:hAnsi="Times New Roman"/>
          <w:i/>
          <w:szCs w:val="24"/>
        </w:rPr>
        <w:t>Exclusion</w:t>
      </w:r>
      <w:r w:rsidR="000F2E7B">
        <w:rPr>
          <w:rFonts w:ascii="Times New Roman" w:hAnsi="Times New Roman"/>
          <w:i/>
          <w:szCs w:val="24"/>
        </w:rPr>
        <w:t xml:space="preserve"> Type = Prohibition/Restriction</w:t>
      </w:r>
    </w:p>
    <w:p w14:paraId="2A21EE27" w14:textId="77777777" w:rsidR="00751A73" w:rsidRPr="00392EA7" w:rsidRDefault="00751A73" w:rsidP="00413707">
      <w:pPr>
        <w:pStyle w:val="DFARS"/>
        <w:tabs>
          <w:tab w:val="clear" w:pos="360"/>
          <w:tab w:val="clear" w:pos="810"/>
          <w:tab w:val="clear" w:pos="1210"/>
          <w:tab w:val="clear" w:pos="1656"/>
          <w:tab w:val="clear" w:pos="2131"/>
          <w:tab w:val="clear" w:pos="2520"/>
        </w:tabs>
        <w:spacing w:after="240" w:line="240" w:lineRule="auto"/>
        <w:ind w:left="1080"/>
        <w:rPr>
          <w:rFonts w:ascii="Times New Roman" w:hAnsi="Times New Roman"/>
          <w:i/>
          <w:szCs w:val="24"/>
        </w:rPr>
      </w:pPr>
      <w:r w:rsidRPr="00392EA7">
        <w:rPr>
          <w:rFonts w:ascii="Times New Roman" w:hAnsi="Times New Roman"/>
          <w:i/>
          <w:szCs w:val="24"/>
        </w:rPr>
        <w:t>Comments:  Pursuant to Subtitle E, Title VIII of the NDAA for FY 2015</w:t>
      </w:r>
    </w:p>
    <w:p w14:paraId="72BA22E9" w14:textId="77777777" w:rsidR="00751A73" w:rsidRPr="00392EA7" w:rsidRDefault="00751A73" w:rsidP="00413707">
      <w:pPr>
        <w:pStyle w:val="DFARS"/>
        <w:numPr>
          <w:ilvl w:val="0"/>
          <w:numId w:val="20"/>
        </w:numPr>
        <w:spacing w:after="240" w:line="240" w:lineRule="auto"/>
        <w:rPr>
          <w:rFonts w:ascii="Times New Roman" w:hAnsi="Times New Roman"/>
          <w:szCs w:val="24"/>
        </w:rPr>
      </w:pPr>
      <w:r w:rsidRPr="00250632">
        <w:rPr>
          <w:rFonts w:ascii="Times New Roman" w:hAnsi="Times New Roman"/>
          <w:szCs w:val="24"/>
        </w:rPr>
        <w:t>Upon termination or voiding of a contract, the contracting officer shall treat such action as a default for purposes of reporting in the Federal Awardee</w:t>
      </w:r>
      <w:r w:rsidRPr="00392EA7">
        <w:rPr>
          <w:rFonts w:ascii="Times New Roman" w:hAnsi="Times New Roman"/>
          <w:szCs w:val="24"/>
        </w:rPr>
        <w:t xml:space="preserve"> Performance and Integrity Information System (FAPIIS)</w:t>
      </w:r>
      <w:r w:rsidR="00264F06">
        <w:rPr>
          <w:rFonts w:ascii="Times New Roman" w:hAnsi="Times New Roman"/>
          <w:szCs w:val="24"/>
        </w:rPr>
        <w:t xml:space="preserve"> </w:t>
      </w:r>
      <w:r w:rsidRPr="00392EA7">
        <w:rPr>
          <w:rFonts w:ascii="Times New Roman" w:hAnsi="Times New Roman"/>
          <w:szCs w:val="24"/>
        </w:rPr>
        <w:t xml:space="preserve">(see </w:t>
      </w:r>
      <w:r w:rsidR="00BD7A0E">
        <w:rPr>
          <w:rFonts w:ascii="Times New Roman" w:hAnsi="Times New Roman"/>
          <w:szCs w:val="24"/>
        </w:rPr>
        <w:t xml:space="preserve">FAR </w:t>
      </w:r>
      <w:r w:rsidRPr="00392EA7">
        <w:rPr>
          <w:rFonts w:ascii="Times New Roman" w:hAnsi="Times New Roman"/>
          <w:szCs w:val="24"/>
        </w:rPr>
        <w:t>42.1503(h)(1)).</w:t>
      </w:r>
    </w:p>
    <w:p w14:paraId="69DA2F31" w14:textId="39335D03" w:rsidR="004C2293" w:rsidRDefault="00751A73" w:rsidP="00413707">
      <w:pPr>
        <w:pStyle w:val="ListParagraph"/>
        <w:numPr>
          <w:ilvl w:val="0"/>
          <w:numId w:val="20"/>
        </w:numPr>
        <w:tabs>
          <w:tab w:val="left" w:pos="720"/>
        </w:tabs>
        <w:spacing w:after="240"/>
        <w:contextualSpacing w:val="0"/>
      </w:pPr>
      <w:r w:rsidRPr="00392EA7">
        <w:t>For contracts</w:t>
      </w:r>
      <w:r w:rsidRPr="009F01E0">
        <w:rPr>
          <w:i/>
        </w:rPr>
        <w:t xml:space="preserve"> </w:t>
      </w:r>
      <w:r w:rsidRPr="00392EA7">
        <w:t>awarde</w:t>
      </w:r>
      <w:r w:rsidR="00E47658">
        <w:t xml:space="preserve">d on or before December 31, </w:t>
      </w:r>
      <w:r w:rsidR="00DC0B09">
        <w:t>2025</w:t>
      </w:r>
      <w:r w:rsidRPr="00392EA7">
        <w:t xml:space="preserve">, </w:t>
      </w:r>
      <w:r w:rsidR="00E82961">
        <w:t xml:space="preserve">to be </w:t>
      </w:r>
      <w:r w:rsidRPr="00392EA7">
        <w:t>performed outside the United States</w:t>
      </w:r>
      <w:r w:rsidR="00E82961">
        <w:t xml:space="preserve"> and its</w:t>
      </w:r>
      <w:r w:rsidRPr="00392EA7">
        <w:t xml:space="preserve"> outlying areas, the contracting officer shall check the current list of prohibited or restricted persons or entities in SAM Exclusions prior to awarding the contract.</w:t>
      </w:r>
      <w:r w:rsidR="004C2293">
        <w:t xml:space="preserve">  </w:t>
      </w:r>
    </w:p>
    <w:p w14:paraId="72515007" w14:textId="77777777" w:rsidR="004C2293" w:rsidRPr="004C2293" w:rsidRDefault="004C2293" w:rsidP="00413707">
      <w:pPr>
        <w:pStyle w:val="ListParagraph"/>
        <w:numPr>
          <w:ilvl w:val="0"/>
          <w:numId w:val="20"/>
        </w:numPr>
        <w:tabs>
          <w:tab w:val="left" w:pos="720"/>
        </w:tabs>
        <w:spacing w:after="240"/>
        <w:contextualSpacing w:val="0"/>
      </w:pPr>
      <w:r w:rsidRPr="004C2293">
        <w:lastRenderedPageBreak/>
        <w:t>Contracting officers</w:t>
      </w:r>
      <w:r>
        <w:t xml:space="preserve"> with contract</w:t>
      </w:r>
      <w:r w:rsidR="002E7145">
        <w:t>s</w:t>
      </w:r>
      <w:r>
        <w:t xml:space="preserve"> being performed outside the United States and its outlying areas in support of covered contingency operations </w:t>
      </w:r>
      <w:r w:rsidRPr="004C2293">
        <w:t xml:space="preserve">shall also check SAM, at a minimum, </w:t>
      </w:r>
      <w:proofErr w:type="gramStart"/>
      <w:r w:rsidRPr="004C2293">
        <w:t>on a monthly basis</w:t>
      </w:r>
      <w:proofErr w:type="gramEnd"/>
      <w:r w:rsidRPr="004C2293">
        <w:t xml:space="preserve"> to ensure none of the existing contracts being performed in the covered combatant commands are associated with prohibited or restricted persons or entities.</w:t>
      </w:r>
    </w:p>
    <w:p w14:paraId="34780598" w14:textId="77777777" w:rsidR="00264F06" w:rsidRDefault="002E7145" w:rsidP="00413707">
      <w:pPr>
        <w:pStyle w:val="ListParagraph"/>
        <w:numPr>
          <w:ilvl w:val="0"/>
          <w:numId w:val="20"/>
        </w:numPr>
        <w:spacing w:after="240"/>
        <w:contextualSpacing w:val="0"/>
      </w:pPr>
      <w:r w:rsidRPr="00D00A12">
        <w:t xml:space="preserve">The authority to examine records pursuant to </w:t>
      </w:r>
      <w:r w:rsidR="00BD7A0E">
        <w:t>252.225-</w:t>
      </w:r>
      <w:r w:rsidR="00AF726D">
        <w:t>7975</w:t>
      </w:r>
      <w:r w:rsidR="00BD7A0E">
        <w:t xml:space="preserve"> (</w:t>
      </w:r>
      <w:r w:rsidRPr="00D00A12">
        <w:t xml:space="preserve">Attachment </w:t>
      </w:r>
      <w:r>
        <w:t>2</w:t>
      </w:r>
      <w:r w:rsidR="00BD7A0E">
        <w:t>)</w:t>
      </w:r>
      <w:r w:rsidRPr="00D00A12">
        <w:t xml:space="preserve"> may be exercised only upon a written determination by the contracting officer, upon a finding by </w:t>
      </w:r>
      <w:r>
        <w:t xml:space="preserve">the commanding officer of </w:t>
      </w:r>
      <w:r w:rsidRPr="0016719A">
        <w:t xml:space="preserve">USAFRICOM, </w:t>
      </w:r>
      <w:r w:rsidR="002C313B" w:rsidRPr="0016719A">
        <w:t xml:space="preserve">USCENTCOM, </w:t>
      </w:r>
      <w:r w:rsidRPr="0016719A">
        <w:t>USEUCOM, US</w:t>
      </w:r>
      <w:r w:rsidR="00743831" w:rsidRPr="0016719A">
        <w:t>INDO</w:t>
      </w:r>
      <w:r w:rsidRPr="0016719A">
        <w:t>PACOM, USSOUTHCOM, or USTRANSCOM</w:t>
      </w:r>
      <w:r>
        <w:t xml:space="preserve"> </w:t>
      </w:r>
      <w:r w:rsidRPr="00D00A12">
        <w:t>that there is reason to believe that funds available under the contract may have been provided directly or indirectly to persons or entities that are actively opposing U</w:t>
      </w:r>
      <w:r>
        <w:t xml:space="preserve">nited </w:t>
      </w:r>
      <w:r w:rsidRPr="00D00A12">
        <w:t>S</w:t>
      </w:r>
      <w:r>
        <w:t>tates</w:t>
      </w:r>
      <w:r w:rsidRPr="00D00A12">
        <w:t xml:space="preserve"> or coalition forces in a contingency operation</w:t>
      </w:r>
      <w:r>
        <w:t xml:space="preserve"> in which members of the Armed Forces are actively engaged in hostilities</w:t>
      </w:r>
      <w:r w:rsidRPr="00D00A12">
        <w:t>.</w:t>
      </w:r>
    </w:p>
    <w:p w14:paraId="7B7B652B" w14:textId="77777777" w:rsidR="00264F06" w:rsidRDefault="00413707" w:rsidP="00D55F44">
      <w:pPr>
        <w:spacing w:after="240"/>
        <w:ind w:left="720" w:hanging="360"/>
      </w:pPr>
      <w:r>
        <w:t xml:space="preserve">11. </w:t>
      </w:r>
      <w:r w:rsidR="00354076" w:rsidRPr="00C374FF">
        <w:t>Each HCA shall enforce inclusion of the attached clause</w:t>
      </w:r>
      <w:r w:rsidR="00354076">
        <w:t>s</w:t>
      </w:r>
      <w:r w:rsidR="00354076" w:rsidRPr="00C374FF">
        <w:t xml:space="preserve"> 252.225-7993 (Attachment 1)</w:t>
      </w:r>
      <w:r w:rsidR="00354076">
        <w:t xml:space="preserve"> and </w:t>
      </w:r>
      <w:r w:rsidR="00743831">
        <w:t>2</w:t>
      </w:r>
      <w:r w:rsidR="00354076">
        <w:t>52.225-</w:t>
      </w:r>
      <w:r w:rsidR="00AF726D">
        <w:t>7975</w:t>
      </w:r>
      <w:r w:rsidR="00354076">
        <w:t xml:space="preserve"> (Attachment 2)</w:t>
      </w:r>
      <w:r w:rsidR="00354076" w:rsidRPr="00C374FF">
        <w:t xml:space="preserve"> </w:t>
      </w:r>
      <w:r w:rsidR="00354076">
        <w:t>as prescribed.</w:t>
      </w:r>
    </w:p>
    <w:p w14:paraId="47E5115D" w14:textId="77777777" w:rsidR="002E7145" w:rsidRDefault="00B3760D" w:rsidP="00413707">
      <w:pPr>
        <w:pStyle w:val="ListParagraph"/>
        <w:numPr>
          <w:ilvl w:val="0"/>
          <w:numId w:val="24"/>
        </w:numPr>
        <w:spacing w:after="240"/>
      </w:pPr>
      <w:r>
        <w:t xml:space="preserve">Reports on </w:t>
      </w:r>
      <w:r w:rsidR="002E7145">
        <w:t>Prohibition on Providing Funds to the Enemy</w:t>
      </w:r>
      <w:r w:rsidR="00264F06">
        <w:t>.</w:t>
      </w:r>
    </w:p>
    <w:p w14:paraId="39D8089C" w14:textId="77777777" w:rsidR="00413707" w:rsidRDefault="00413707" w:rsidP="00413707">
      <w:pPr>
        <w:pStyle w:val="ListParagraph"/>
        <w:spacing w:after="240"/>
      </w:pPr>
    </w:p>
    <w:p w14:paraId="2FCF0AC3" w14:textId="46DF7128" w:rsidR="00751A73" w:rsidRPr="00392EA7" w:rsidRDefault="00751A73" w:rsidP="00413707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240"/>
        <w:ind w:left="1080"/>
        <w:contextualSpacing w:val="0"/>
      </w:pPr>
      <w:r w:rsidRPr="00392EA7">
        <w:t xml:space="preserve">The </w:t>
      </w:r>
      <w:r w:rsidR="00BD7A0E">
        <w:t>HCA</w:t>
      </w:r>
      <w:r w:rsidRPr="00392EA7">
        <w:t xml:space="preserve"> that receives a notice pursuant to </w:t>
      </w:r>
      <w:r w:rsidR="00E82961">
        <w:t xml:space="preserve">paragraph 2. of these procedures </w:t>
      </w:r>
      <w:r w:rsidRPr="00392EA7">
        <w:t xml:space="preserve">shall submit </w:t>
      </w:r>
      <w:r w:rsidR="008E691D" w:rsidRPr="008E691D">
        <w:t>to</w:t>
      </w:r>
      <w:r w:rsidR="008E691D">
        <w:t xml:space="preserve"> </w:t>
      </w:r>
      <w:hyperlink r:id="rId8" w:history="1">
        <w:r w:rsidR="00CF1991" w:rsidRPr="0067306C">
          <w:rPr>
            <w:rStyle w:val="Hyperlink"/>
          </w:rPr>
          <w:t>osd.pentagon.ousd-a-s.mbx.dpc-cp@mail.mil</w:t>
        </w:r>
      </w:hyperlink>
      <w:r w:rsidR="00CF1991">
        <w:t xml:space="preserve"> </w:t>
      </w:r>
      <w:r w:rsidRPr="00392EA7">
        <w:t>and the commander of the</w:t>
      </w:r>
      <w:r w:rsidR="007130F3">
        <w:t xml:space="preserve"> </w:t>
      </w:r>
      <w:r w:rsidRPr="00392EA7">
        <w:t xml:space="preserve">combatant command concerned a report on the action, if any, taken by the </w:t>
      </w:r>
      <w:r w:rsidR="00BD7A0E">
        <w:t>HCA</w:t>
      </w:r>
      <w:r w:rsidRPr="00392EA7">
        <w:t xml:space="preserve"> pursuant to</w:t>
      </w:r>
      <w:r w:rsidR="000F2E7B">
        <w:t xml:space="preserve"> paragraph 3</w:t>
      </w:r>
      <w:r w:rsidR="00F0199B">
        <w:t>.</w:t>
      </w:r>
      <w:r w:rsidR="00CE68BC">
        <w:t xml:space="preserve"> of these procedures</w:t>
      </w:r>
      <w:r w:rsidRPr="00392EA7">
        <w:t>, including a determination not to terminate, void, or restrict the contract as otherwise authorized</w:t>
      </w:r>
      <w:r w:rsidR="000F2E7B">
        <w:t xml:space="preserve">. </w:t>
      </w:r>
      <w:r w:rsidR="00BD7A0E">
        <w:t xml:space="preserve"> </w:t>
      </w:r>
      <w:r w:rsidR="000F2E7B">
        <w:t>Include the following:</w:t>
      </w:r>
    </w:p>
    <w:p w14:paraId="34DC9642" w14:textId="77777777" w:rsidR="00751A73" w:rsidRDefault="00751A73" w:rsidP="0041370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/>
        <w:contextualSpacing w:val="0"/>
      </w:pPr>
      <w:r w:rsidRPr="00392EA7">
        <w:t xml:space="preserve">The </w:t>
      </w:r>
      <w:r w:rsidR="00CE68BC">
        <w:t>contracting activity</w:t>
      </w:r>
      <w:r w:rsidRPr="00392EA7">
        <w:t xml:space="preserve"> taking such action.</w:t>
      </w:r>
    </w:p>
    <w:p w14:paraId="0D7D3D64" w14:textId="77777777" w:rsidR="002E7145" w:rsidRDefault="00751A73" w:rsidP="0041370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/>
        <w:contextualSpacing w:val="0"/>
      </w:pPr>
      <w:r w:rsidRPr="00392EA7">
        <w:t>An explanation of the basis for the action taken</w:t>
      </w:r>
      <w:r w:rsidR="00CE68BC">
        <w:t xml:space="preserve"> or not taken</w:t>
      </w:r>
      <w:r w:rsidRPr="00392EA7">
        <w:t>.</w:t>
      </w:r>
    </w:p>
    <w:p w14:paraId="18A8EFE2" w14:textId="77777777" w:rsidR="00751A73" w:rsidRPr="00392EA7" w:rsidRDefault="00CE68BC" w:rsidP="0041370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/>
        <w:contextualSpacing w:val="0"/>
      </w:pPr>
      <w:r>
        <w:t>If applicable, t</w:t>
      </w:r>
      <w:r w:rsidR="00751A73" w:rsidRPr="00392EA7">
        <w:t>he value of the contract voided or terminated</w:t>
      </w:r>
      <w:r>
        <w:t xml:space="preserve"> and the </w:t>
      </w:r>
      <w:r w:rsidR="00751A73" w:rsidRPr="00392EA7">
        <w:t xml:space="preserve">value of all contracts of the </w:t>
      </w:r>
      <w:r>
        <w:t>contracting activity</w:t>
      </w:r>
      <w:r w:rsidR="00751A73" w:rsidRPr="00392EA7">
        <w:t xml:space="preserve"> in force with the person or entity concerned at the time the contract was terminated or voided.</w:t>
      </w:r>
    </w:p>
    <w:p w14:paraId="240780AD" w14:textId="77777777" w:rsidR="00751A73" w:rsidRDefault="00CE68BC" w:rsidP="00413707">
      <w:pPr>
        <w:pStyle w:val="ListParagraph"/>
        <w:numPr>
          <w:ilvl w:val="1"/>
          <w:numId w:val="23"/>
        </w:numPr>
        <w:spacing w:after="240"/>
        <w:ind w:left="1080"/>
        <w:contextualSpacing w:val="0"/>
      </w:pPr>
      <w:r>
        <w:t xml:space="preserve">Reports may be </w:t>
      </w:r>
      <w:r w:rsidR="00751A73" w:rsidRPr="00392EA7">
        <w:t>submitted</w:t>
      </w:r>
      <w:r>
        <w:t xml:space="preserve"> i</w:t>
      </w:r>
      <w:r w:rsidR="00751A73" w:rsidRPr="00392EA7">
        <w:t xml:space="preserve">n unclassified form, but with a classified </w:t>
      </w:r>
      <w:proofErr w:type="gramStart"/>
      <w:r w:rsidR="00751A73" w:rsidRPr="00392EA7">
        <w:t>annex;</w:t>
      </w:r>
      <w:proofErr w:type="gramEnd"/>
      <w:r w:rsidR="00751A73" w:rsidRPr="00392EA7">
        <w:t xml:space="preserve"> or</w:t>
      </w:r>
      <w:r w:rsidR="00264F06">
        <w:t xml:space="preserve"> </w:t>
      </w:r>
      <w:r>
        <w:t>i</w:t>
      </w:r>
      <w:r w:rsidR="00751A73" w:rsidRPr="00392EA7">
        <w:t>n classified form</w:t>
      </w:r>
      <w:r>
        <w:t>, as appropriate</w:t>
      </w:r>
      <w:r w:rsidR="00751A73" w:rsidRPr="00392EA7">
        <w:t>.</w:t>
      </w:r>
    </w:p>
    <w:p w14:paraId="4EE042F1" w14:textId="77777777" w:rsidR="002E7145" w:rsidRDefault="002E7145" w:rsidP="00413707">
      <w:pPr>
        <w:spacing w:after="240"/>
      </w:pPr>
    </w:p>
    <w:p w14:paraId="0C74E614" w14:textId="77777777" w:rsidR="002E7145" w:rsidRPr="00392EA7" w:rsidRDefault="002E7145" w:rsidP="00413707">
      <w:pPr>
        <w:autoSpaceDE w:val="0"/>
        <w:autoSpaceDN w:val="0"/>
        <w:adjustRightInd w:val="0"/>
        <w:spacing w:after="240"/>
      </w:pPr>
      <w:r>
        <w:t xml:space="preserve">  </w:t>
      </w:r>
    </w:p>
    <w:p w14:paraId="7BAB4E86" w14:textId="77777777" w:rsidR="00751A73" w:rsidRPr="00392EA7" w:rsidRDefault="00751A73" w:rsidP="00413707">
      <w:pPr>
        <w:autoSpaceDE w:val="0"/>
        <w:autoSpaceDN w:val="0"/>
        <w:adjustRightInd w:val="0"/>
        <w:spacing w:after="240"/>
      </w:pPr>
    </w:p>
    <w:p w14:paraId="75F072E5" w14:textId="77777777" w:rsidR="008D75D5" w:rsidRPr="00392EA7" w:rsidRDefault="008D75D5" w:rsidP="008D75D5">
      <w:pPr>
        <w:pStyle w:val="ListParagraph"/>
      </w:pPr>
    </w:p>
    <w:sectPr w:rsidR="008D75D5" w:rsidRPr="00392EA7" w:rsidSect="004137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547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D628" w14:textId="77777777" w:rsidR="000D2EF6" w:rsidRDefault="000D2EF6">
      <w:r>
        <w:separator/>
      </w:r>
    </w:p>
  </w:endnote>
  <w:endnote w:type="continuationSeparator" w:id="0">
    <w:p w14:paraId="78C1BA01" w14:textId="77777777" w:rsidR="000D2EF6" w:rsidRDefault="000D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64738"/>
      <w:docPartObj>
        <w:docPartGallery w:val="Page Numbers (Bottom of Page)"/>
        <w:docPartUnique/>
      </w:docPartObj>
    </w:sdtPr>
    <w:sdtEndPr/>
    <w:sdtContent>
      <w:sdt>
        <w:sdtPr>
          <w:id w:val="542636979"/>
          <w:docPartObj>
            <w:docPartGallery w:val="Page Numbers (Top of Page)"/>
            <w:docPartUnique/>
          </w:docPartObj>
        </w:sdtPr>
        <w:sdtEndPr/>
        <w:sdtContent>
          <w:p w14:paraId="22E53C45" w14:textId="77777777" w:rsidR="00861881" w:rsidRDefault="00861881">
            <w:pPr>
              <w:pStyle w:val="Footer"/>
              <w:jc w:val="center"/>
            </w:pPr>
          </w:p>
          <w:p w14:paraId="4F45F0D7" w14:textId="77777777" w:rsidR="00185E26" w:rsidRPr="00FE0BC0" w:rsidRDefault="00185E26">
            <w:pPr>
              <w:pStyle w:val="Footer"/>
              <w:jc w:val="center"/>
            </w:pPr>
            <w:r w:rsidRPr="00FE0BC0">
              <w:t xml:space="preserve">Page </w:t>
            </w:r>
            <w:r w:rsidRPr="00FE0BC0">
              <w:rPr>
                <w:bCs/>
              </w:rPr>
              <w:fldChar w:fldCharType="begin"/>
            </w:r>
            <w:r w:rsidRPr="00FE0BC0">
              <w:rPr>
                <w:bCs/>
              </w:rPr>
              <w:instrText xml:space="preserve"> PAGE </w:instrText>
            </w:r>
            <w:r w:rsidRPr="00FE0BC0">
              <w:rPr>
                <w:bCs/>
              </w:rPr>
              <w:fldChar w:fldCharType="separate"/>
            </w:r>
            <w:r w:rsidR="00413707">
              <w:rPr>
                <w:bCs/>
                <w:noProof/>
              </w:rPr>
              <w:t>3</w:t>
            </w:r>
            <w:r w:rsidRPr="00FE0BC0">
              <w:rPr>
                <w:bCs/>
              </w:rPr>
              <w:fldChar w:fldCharType="end"/>
            </w:r>
            <w:r w:rsidRPr="00FE0BC0">
              <w:t xml:space="preserve"> of </w:t>
            </w:r>
            <w:r w:rsidRPr="00FE0BC0">
              <w:rPr>
                <w:bCs/>
              </w:rPr>
              <w:fldChar w:fldCharType="begin"/>
            </w:r>
            <w:r w:rsidRPr="00FE0BC0">
              <w:rPr>
                <w:bCs/>
              </w:rPr>
              <w:instrText xml:space="preserve"> NUMPAGES  </w:instrText>
            </w:r>
            <w:r w:rsidRPr="00FE0BC0">
              <w:rPr>
                <w:bCs/>
              </w:rPr>
              <w:fldChar w:fldCharType="separate"/>
            </w:r>
            <w:r w:rsidR="00413707">
              <w:rPr>
                <w:bCs/>
                <w:noProof/>
              </w:rPr>
              <w:t>3</w:t>
            </w:r>
            <w:r w:rsidRPr="00FE0BC0">
              <w:rPr>
                <w:bCs/>
              </w:rPr>
              <w:fldChar w:fldCharType="end"/>
            </w:r>
          </w:p>
        </w:sdtContent>
      </w:sdt>
    </w:sdtContent>
  </w:sdt>
  <w:p w14:paraId="493556C6" w14:textId="77777777" w:rsidR="00185E26" w:rsidRDefault="00185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965886"/>
      <w:docPartObj>
        <w:docPartGallery w:val="Page Numbers (Bottom of Page)"/>
        <w:docPartUnique/>
      </w:docPartObj>
    </w:sdtPr>
    <w:sdtEndPr/>
    <w:sdtContent>
      <w:sdt>
        <w:sdtPr>
          <w:id w:val="-1035891088"/>
          <w:docPartObj>
            <w:docPartGallery w:val="Page Numbers (Top of Page)"/>
            <w:docPartUnique/>
          </w:docPartObj>
        </w:sdtPr>
        <w:sdtEndPr/>
        <w:sdtContent>
          <w:p w14:paraId="08AE0CE2" w14:textId="77777777" w:rsidR="00F53438" w:rsidRDefault="003869D6" w:rsidP="00F53438">
            <w:pPr>
              <w:pStyle w:val="Footer"/>
              <w:jc w:val="center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33DD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33DD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  <w:p w14:paraId="1830F96B" w14:textId="77777777" w:rsidR="003869D6" w:rsidRDefault="00F53438" w:rsidP="00F53438">
            <w:pPr>
              <w:pStyle w:val="Footer"/>
              <w:jc w:val="right"/>
            </w:pPr>
            <w:r w:rsidRPr="00F53438">
              <w:rPr>
                <w:bCs/>
              </w:rPr>
              <w:t>TAB A3</w:t>
            </w:r>
          </w:p>
        </w:sdtContent>
      </w:sdt>
    </w:sdtContent>
  </w:sdt>
  <w:p w14:paraId="29DD4401" w14:textId="77777777" w:rsidR="00CE3760" w:rsidRDefault="00CE3760" w:rsidP="00185E2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C416" w14:textId="77777777" w:rsidR="000D2EF6" w:rsidRDefault="000D2EF6">
      <w:r>
        <w:separator/>
      </w:r>
    </w:p>
  </w:footnote>
  <w:footnote w:type="continuationSeparator" w:id="0">
    <w:p w14:paraId="651B1B5C" w14:textId="77777777" w:rsidR="000D2EF6" w:rsidRDefault="000D2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0E74" w14:textId="77777777" w:rsidR="00033DDA" w:rsidRPr="005E5991" w:rsidRDefault="00033DDA" w:rsidP="00033DDA">
    <w:pPr>
      <w:pStyle w:val="Header"/>
      <w:spacing w:after="20" w:line="240" w:lineRule="exact"/>
      <w:jc w:val="right"/>
      <w:rPr>
        <w:rFonts w:eastAsia="Arial Unicode MS"/>
      </w:rPr>
    </w:pPr>
    <w:r w:rsidRPr="005E5991">
      <w:rPr>
        <w:rFonts w:eastAsia="Arial Unicode MS"/>
      </w:rPr>
      <w:t xml:space="preserve">Attachment </w:t>
    </w:r>
    <w:r>
      <w:rPr>
        <w:rFonts w:eastAsia="Arial Unicode MS"/>
      </w:rPr>
      <w:t>3</w:t>
    </w:r>
  </w:p>
  <w:p w14:paraId="3BC069E2" w14:textId="1752D5F1" w:rsidR="00033DDA" w:rsidRDefault="00264F06" w:rsidP="00033DDA">
    <w:pPr>
      <w:pStyle w:val="Header"/>
      <w:spacing w:after="20" w:line="240" w:lineRule="exact"/>
      <w:jc w:val="right"/>
      <w:rPr>
        <w:rFonts w:eastAsia="Arial Unicode MS"/>
      </w:rPr>
    </w:pPr>
    <w:r w:rsidRPr="005E5991">
      <w:rPr>
        <w:rFonts w:eastAsia="Arial Unicode MS"/>
      </w:rPr>
      <w:t>Class Deviation</w:t>
    </w:r>
    <w:r w:rsidR="00033DDA">
      <w:rPr>
        <w:rFonts w:eastAsia="Arial Unicode MS"/>
      </w:rPr>
      <w:t xml:space="preserve"> </w:t>
    </w:r>
    <w:r w:rsidR="00196E3D">
      <w:rPr>
        <w:rFonts w:eastAsia="Arial Unicode MS"/>
      </w:rPr>
      <w:t>2024</w:t>
    </w:r>
    <w:r w:rsidR="00DC0403">
      <w:rPr>
        <w:rFonts w:eastAsia="Arial Unicode MS"/>
      </w:rPr>
      <w:t>-</w:t>
    </w:r>
    <w:r w:rsidR="00196E3D">
      <w:rPr>
        <w:rFonts w:eastAsia="Arial Unicode MS"/>
      </w:rPr>
      <w:t>O</w:t>
    </w:r>
    <w:r w:rsidR="00CF1991">
      <w:rPr>
        <w:rFonts w:eastAsia="Arial Unicode MS"/>
      </w:rPr>
      <w:t>0003</w:t>
    </w:r>
    <w:r w:rsidR="00033DDA">
      <w:rPr>
        <w:rFonts w:eastAsia="Arial Unicode MS"/>
      </w:rPr>
      <w:br/>
    </w:r>
    <w:r w:rsidR="00033DDA" w:rsidRPr="005E5991">
      <w:rPr>
        <w:rFonts w:eastAsia="Arial Unicode MS"/>
      </w:rPr>
      <w:t xml:space="preserve">Prohibition on </w:t>
    </w:r>
    <w:r w:rsidR="00033DDA">
      <w:rPr>
        <w:rFonts w:eastAsia="Arial Unicode MS"/>
      </w:rPr>
      <w:t>Providing Funds to</w:t>
    </w:r>
    <w:r w:rsidR="00033DDA" w:rsidRPr="005E5991">
      <w:rPr>
        <w:rFonts w:eastAsia="Arial Unicode MS"/>
      </w:rPr>
      <w:t xml:space="preserve"> the Enemy</w:t>
    </w:r>
    <w:r w:rsidR="00033DDA">
      <w:rPr>
        <w:rFonts w:eastAsia="Arial Unicode MS"/>
      </w:rPr>
      <w:t xml:space="preserve"> and</w:t>
    </w:r>
  </w:p>
  <w:p w14:paraId="5FAAD2C0" w14:textId="77777777" w:rsidR="00033DDA" w:rsidRDefault="00033DDA" w:rsidP="00033DDA">
    <w:pPr>
      <w:pStyle w:val="Header"/>
      <w:spacing w:after="20" w:line="240" w:lineRule="exact"/>
      <w:jc w:val="right"/>
      <w:rPr>
        <w:rFonts w:eastAsia="Arial Unicode MS"/>
      </w:rPr>
    </w:pPr>
    <w:r>
      <w:rPr>
        <w:rFonts w:eastAsia="Arial Unicode MS"/>
      </w:rPr>
      <w:t>Authorization for Additional Access to Records</w:t>
    </w:r>
  </w:p>
  <w:p w14:paraId="3763ECD0" w14:textId="77777777" w:rsidR="00264F06" w:rsidRPr="005E5991" w:rsidRDefault="00264F06" w:rsidP="00033DDA">
    <w:pPr>
      <w:pStyle w:val="Header"/>
      <w:spacing w:after="20" w:line="240" w:lineRule="exact"/>
      <w:jc w:val="right"/>
      <w:rPr>
        <w:rFonts w:eastAsia="Arial Unicode MS"/>
      </w:rPr>
    </w:pPr>
  </w:p>
  <w:p w14:paraId="0F80B1F8" w14:textId="77777777" w:rsidR="00CE3760" w:rsidRPr="00CF6E22" w:rsidRDefault="00CE3760" w:rsidP="00C37057">
    <w:pPr>
      <w:pStyle w:val="Header"/>
      <w:tabs>
        <w:tab w:val="clear" w:pos="4320"/>
        <w:tab w:val="clear" w:pos="8640"/>
        <w:tab w:val="right" w:pos="9360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FB7C" w14:textId="77777777" w:rsidR="00CE3760" w:rsidRPr="0092625C" w:rsidRDefault="00CE3760">
    <w:pPr>
      <w:pStyle w:val="Header"/>
      <w:rPr>
        <w:rFonts w:ascii="Copperplate Gothic Bold" w:hAnsi="Copperplate Gothic Bold"/>
        <w:color w:val="0460B4"/>
        <w:sz w:val="20"/>
        <w:szCs w:val="20"/>
      </w:rPr>
    </w:pPr>
  </w:p>
  <w:p w14:paraId="2711ADB3" w14:textId="77777777" w:rsidR="00CE3760" w:rsidRPr="0092625C" w:rsidRDefault="00CE3760" w:rsidP="00D33D54">
    <w:pPr>
      <w:pStyle w:val="Header"/>
      <w:rPr>
        <w:rFonts w:ascii="Copperplate Gothic Bold" w:hAnsi="Copperplate Gothic Bold"/>
        <w:color w:val="0460B4"/>
        <w:sz w:val="16"/>
        <w:szCs w:val="16"/>
      </w:rPr>
    </w:pPr>
  </w:p>
  <w:p w14:paraId="6C4163D9" w14:textId="77777777" w:rsidR="00CE3760" w:rsidRDefault="00CE3760" w:rsidP="00FA379B">
    <w:pPr>
      <w:pStyle w:val="Header"/>
      <w:ind w:left="-540" w:hanging="180"/>
      <w:rPr>
        <w:rFonts w:ascii="Arial Rounded MT Bold" w:hAnsi="Arial Rounded MT Bold"/>
        <w:caps/>
        <w:sz w:val="14"/>
        <w:szCs w:val="14"/>
      </w:rPr>
    </w:pPr>
  </w:p>
  <w:p w14:paraId="23A06209" w14:textId="77777777" w:rsidR="00CE3760" w:rsidRPr="00CC36B1" w:rsidRDefault="00CE3760" w:rsidP="00FA379B">
    <w:pPr>
      <w:pStyle w:val="Header"/>
      <w:ind w:left="-540" w:hanging="180"/>
      <w:rPr>
        <w:rFonts w:ascii="Arial Rounded MT Bold" w:hAnsi="Arial Rounded MT Bold"/>
        <w:cap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562"/>
    <w:multiLevelType w:val="hybridMultilevel"/>
    <w:tmpl w:val="AD52A718"/>
    <w:lvl w:ilvl="0" w:tplc="F022FB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30697A"/>
    <w:multiLevelType w:val="hybridMultilevel"/>
    <w:tmpl w:val="4DA4158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4AE5"/>
    <w:multiLevelType w:val="hybridMultilevel"/>
    <w:tmpl w:val="672A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4075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81459"/>
    <w:multiLevelType w:val="hybridMultilevel"/>
    <w:tmpl w:val="A58C5EA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DD6A5A"/>
    <w:multiLevelType w:val="hybridMultilevel"/>
    <w:tmpl w:val="CC822714"/>
    <w:lvl w:ilvl="0" w:tplc="7284A964">
      <w:start w:val="1"/>
      <w:numFmt w:val="decimal"/>
      <w:lvlText w:val="(%1)"/>
      <w:lvlJc w:val="left"/>
      <w:pPr>
        <w:ind w:left="178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18965C98"/>
    <w:multiLevelType w:val="hybridMultilevel"/>
    <w:tmpl w:val="A692C540"/>
    <w:lvl w:ilvl="0" w:tplc="4C4A3DD0">
      <w:start w:val="1"/>
      <w:numFmt w:val="lowerLetter"/>
      <w:lvlText w:val="(%1)"/>
      <w:lvlJc w:val="left"/>
      <w:pPr>
        <w:ind w:left="600" w:hanging="4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B1C447B"/>
    <w:multiLevelType w:val="hybridMultilevel"/>
    <w:tmpl w:val="28EE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F0032"/>
    <w:multiLevelType w:val="hybridMultilevel"/>
    <w:tmpl w:val="F806B86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424E2"/>
    <w:multiLevelType w:val="hybridMultilevel"/>
    <w:tmpl w:val="618E1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710EC"/>
    <w:multiLevelType w:val="hybridMultilevel"/>
    <w:tmpl w:val="B9E2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02213"/>
    <w:multiLevelType w:val="hybridMultilevel"/>
    <w:tmpl w:val="CCC661B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3D936368"/>
    <w:multiLevelType w:val="hybridMultilevel"/>
    <w:tmpl w:val="CF769934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447A3D19"/>
    <w:multiLevelType w:val="hybridMultilevel"/>
    <w:tmpl w:val="3940B038"/>
    <w:lvl w:ilvl="0" w:tplc="8A7A0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874A4C"/>
    <w:multiLevelType w:val="hybridMultilevel"/>
    <w:tmpl w:val="2196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50BF8"/>
    <w:multiLevelType w:val="hybridMultilevel"/>
    <w:tmpl w:val="3F145E5E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2C92177"/>
    <w:multiLevelType w:val="hybridMultilevel"/>
    <w:tmpl w:val="028E6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1D5B56"/>
    <w:multiLevelType w:val="hybridMultilevel"/>
    <w:tmpl w:val="82F6A0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C9D2B31"/>
    <w:multiLevelType w:val="hybridMultilevel"/>
    <w:tmpl w:val="84BEF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A189C"/>
    <w:multiLevelType w:val="hybridMultilevel"/>
    <w:tmpl w:val="19C6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02D40"/>
    <w:multiLevelType w:val="hybridMultilevel"/>
    <w:tmpl w:val="B0A2D4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ED4BD0"/>
    <w:multiLevelType w:val="hybridMultilevel"/>
    <w:tmpl w:val="D572FE62"/>
    <w:lvl w:ilvl="0" w:tplc="8A7A0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A7A0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366B9"/>
    <w:multiLevelType w:val="hybridMultilevel"/>
    <w:tmpl w:val="7F1CD0A4"/>
    <w:lvl w:ilvl="0" w:tplc="8D8A7212">
      <w:start w:val="1"/>
      <w:numFmt w:val="decimal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392A62"/>
    <w:multiLevelType w:val="hybridMultilevel"/>
    <w:tmpl w:val="3528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D4ADE"/>
    <w:multiLevelType w:val="hybridMultilevel"/>
    <w:tmpl w:val="C73A859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98526411">
    <w:abstractNumId w:val="3"/>
  </w:num>
  <w:num w:numId="2" w16cid:durableId="1916283488">
    <w:abstractNumId w:val="13"/>
  </w:num>
  <w:num w:numId="3" w16cid:durableId="982849769">
    <w:abstractNumId w:val="20"/>
  </w:num>
  <w:num w:numId="4" w16cid:durableId="1961645756">
    <w:abstractNumId w:val="5"/>
  </w:num>
  <w:num w:numId="5" w16cid:durableId="1654941272">
    <w:abstractNumId w:val="12"/>
  </w:num>
  <w:num w:numId="6" w16cid:durableId="98376416">
    <w:abstractNumId w:val="1"/>
  </w:num>
  <w:num w:numId="7" w16cid:durableId="1669937940">
    <w:abstractNumId w:val="6"/>
  </w:num>
  <w:num w:numId="8" w16cid:durableId="1652253770">
    <w:abstractNumId w:val="21"/>
  </w:num>
  <w:num w:numId="9" w16cid:durableId="1769891336">
    <w:abstractNumId w:val="0"/>
  </w:num>
  <w:num w:numId="10" w16cid:durableId="1765951688">
    <w:abstractNumId w:val="18"/>
  </w:num>
  <w:num w:numId="11" w16cid:durableId="20728041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8515414">
    <w:abstractNumId w:val="11"/>
  </w:num>
  <w:num w:numId="13" w16cid:durableId="793451948">
    <w:abstractNumId w:val="4"/>
  </w:num>
  <w:num w:numId="14" w16cid:durableId="25176306">
    <w:abstractNumId w:val="22"/>
  </w:num>
  <w:num w:numId="15" w16cid:durableId="1093475781">
    <w:abstractNumId w:val="10"/>
  </w:num>
  <w:num w:numId="16" w16cid:durableId="1260917375">
    <w:abstractNumId w:val="15"/>
  </w:num>
  <w:num w:numId="17" w16cid:durableId="934751458">
    <w:abstractNumId w:val="9"/>
  </w:num>
  <w:num w:numId="18" w16cid:durableId="87427147">
    <w:abstractNumId w:val="16"/>
  </w:num>
  <w:num w:numId="19" w16cid:durableId="451871728">
    <w:abstractNumId w:val="8"/>
  </w:num>
  <w:num w:numId="20" w16cid:durableId="791827603">
    <w:abstractNumId w:val="2"/>
  </w:num>
  <w:num w:numId="21" w16cid:durableId="1632250756">
    <w:abstractNumId w:val="17"/>
  </w:num>
  <w:num w:numId="22" w16cid:durableId="1800296367">
    <w:abstractNumId w:val="23"/>
  </w:num>
  <w:num w:numId="23" w16cid:durableId="804395526">
    <w:abstractNumId w:val="14"/>
  </w:num>
  <w:num w:numId="24" w16cid:durableId="2060978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C1"/>
    <w:rsid w:val="000042B7"/>
    <w:rsid w:val="00007902"/>
    <w:rsid w:val="00012915"/>
    <w:rsid w:val="00017AE5"/>
    <w:rsid w:val="00020AB0"/>
    <w:rsid w:val="000303D7"/>
    <w:rsid w:val="000330C3"/>
    <w:rsid w:val="00033DDA"/>
    <w:rsid w:val="00035931"/>
    <w:rsid w:val="00042100"/>
    <w:rsid w:val="00043442"/>
    <w:rsid w:val="00050313"/>
    <w:rsid w:val="000516BD"/>
    <w:rsid w:val="00054402"/>
    <w:rsid w:val="00062D86"/>
    <w:rsid w:val="0007686C"/>
    <w:rsid w:val="00081A5B"/>
    <w:rsid w:val="000844B8"/>
    <w:rsid w:val="00085516"/>
    <w:rsid w:val="00086DD4"/>
    <w:rsid w:val="00094DFB"/>
    <w:rsid w:val="000B29EF"/>
    <w:rsid w:val="000B2F2D"/>
    <w:rsid w:val="000D039B"/>
    <w:rsid w:val="000D2EF6"/>
    <w:rsid w:val="000D4967"/>
    <w:rsid w:val="000D6BAC"/>
    <w:rsid w:val="000D7BBE"/>
    <w:rsid w:val="000E6659"/>
    <w:rsid w:val="000F0B9C"/>
    <w:rsid w:val="000F2E7B"/>
    <w:rsid w:val="000F4184"/>
    <w:rsid w:val="000F505F"/>
    <w:rsid w:val="00100636"/>
    <w:rsid w:val="0010172B"/>
    <w:rsid w:val="001023EC"/>
    <w:rsid w:val="00112AA3"/>
    <w:rsid w:val="001133ED"/>
    <w:rsid w:val="00115741"/>
    <w:rsid w:val="001228B4"/>
    <w:rsid w:val="00126165"/>
    <w:rsid w:val="00131DBA"/>
    <w:rsid w:val="0013767E"/>
    <w:rsid w:val="00150627"/>
    <w:rsid w:val="0016719A"/>
    <w:rsid w:val="001777FB"/>
    <w:rsid w:val="001838E5"/>
    <w:rsid w:val="00185E26"/>
    <w:rsid w:val="0019323E"/>
    <w:rsid w:val="001969DF"/>
    <w:rsid w:val="00196E3D"/>
    <w:rsid w:val="001A0F71"/>
    <w:rsid w:val="001A5D30"/>
    <w:rsid w:val="001B3CA4"/>
    <w:rsid w:val="001C631E"/>
    <w:rsid w:val="001C663D"/>
    <w:rsid w:val="001C6EF2"/>
    <w:rsid w:val="001D0512"/>
    <w:rsid w:val="001D4431"/>
    <w:rsid w:val="001D4A62"/>
    <w:rsid w:val="001D5929"/>
    <w:rsid w:val="001E4C48"/>
    <w:rsid w:val="001F36B9"/>
    <w:rsid w:val="00204392"/>
    <w:rsid w:val="00204399"/>
    <w:rsid w:val="0021751F"/>
    <w:rsid w:val="002303BF"/>
    <w:rsid w:val="00240342"/>
    <w:rsid w:val="00244B99"/>
    <w:rsid w:val="00245E75"/>
    <w:rsid w:val="00250632"/>
    <w:rsid w:val="0025205B"/>
    <w:rsid w:val="002547E6"/>
    <w:rsid w:val="00261746"/>
    <w:rsid w:val="00264F06"/>
    <w:rsid w:val="002660D3"/>
    <w:rsid w:val="00271855"/>
    <w:rsid w:val="00272ED2"/>
    <w:rsid w:val="00275611"/>
    <w:rsid w:val="00281B20"/>
    <w:rsid w:val="002979B5"/>
    <w:rsid w:val="00297B3F"/>
    <w:rsid w:val="002A0AF4"/>
    <w:rsid w:val="002A4FDA"/>
    <w:rsid w:val="002B5B9C"/>
    <w:rsid w:val="002C25D2"/>
    <w:rsid w:val="002C313B"/>
    <w:rsid w:val="002C48F9"/>
    <w:rsid w:val="002C530B"/>
    <w:rsid w:val="002D599F"/>
    <w:rsid w:val="002E3609"/>
    <w:rsid w:val="002E4EBF"/>
    <w:rsid w:val="002E54BA"/>
    <w:rsid w:val="002E7145"/>
    <w:rsid w:val="002E7EA7"/>
    <w:rsid w:val="002F1AD8"/>
    <w:rsid w:val="002F64B5"/>
    <w:rsid w:val="00302B0F"/>
    <w:rsid w:val="0031285E"/>
    <w:rsid w:val="003170A0"/>
    <w:rsid w:val="003240A0"/>
    <w:rsid w:val="003253A9"/>
    <w:rsid w:val="003313F1"/>
    <w:rsid w:val="0034363C"/>
    <w:rsid w:val="00346EEE"/>
    <w:rsid w:val="00347BE6"/>
    <w:rsid w:val="00351395"/>
    <w:rsid w:val="00351DE4"/>
    <w:rsid w:val="00354076"/>
    <w:rsid w:val="00360A22"/>
    <w:rsid w:val="003674C8"/>
    <w:rsid w:val="00367517"/>
    <w:rsid w:val="003869D6"/>
    <w:rsid w:val="00390E93"/>
    <w:rsid w:val="003927AD"/>
    <w:rsid w:val="00392EA7"/>
    <w:rsid w:val="00394F43"/>
    <w:rsid w:val="003A4798"/>
    <w:rsid w:val="003B0BEA"/>
    <w:rsid w:val="003B3FCA"/>
    <w:rsid w:val="003C5671"/>
    <w:rsid w:val="003D0643"/>
    <w:rsid w:val="003D1913"/>
    <w:rsid w:val="003D4271"/>
    <w:rsid w:val="003D4EB5"/>
    <w:rsid w:val="003E367C"/>
    <w:rsid w:val="003E4D3C"/>
    <w:rsid w:val="003E5337"/>
    <w:rsid w:val="003E7B85"/>
    <w:rsid w:val="00401499"/>
    <w:rsid w:val="00413707"/>
    <w:rsid w:val="0041731E"/>
    <w:rsid w:val="00423F76"/>
    <w:rsid w:val="00424142"/>
    <w:rsid w:val="00424BFC"/>
    <w:rsid w:val="004266EE"/>
    <w:rsid w:val="00426F93"/>
    <w:rsid w:val="004301A9"/>
    <w:rsid w:val="0046433D"/>
    <w:rsid w:val="004729CD"/>
    <w:rsid w:val="00473729"/>
    <w:rsid w:val="004864A9"/>
    <w:rsid w:val="00491DF0"/>
    <w:rsid w:val="00496784"/>
    <w:rsid w:val="004A50F5"/>
    <w:rsid w:val="004B7860"/>
    <w:rsid w:val="004C2065"/>
    <w:rsid w:val="004C2293"/>
    <w:rsid w:val="004C5737"/>
    <w:rsid w:val="004E1C9F"/>
    <w:rsid w:val="004E507C"/>
    <w:rsid w:val="004F2949"/>
    <w:rsid w:val="004F3331"/>
    <w:rsid w:val="005068FD"/>
    <w:rsid w:val="00514FA0"/>
    <w:rsid w:val="005248C7"/>
    <w:rsid w:val="005324C7"/>
    <w:rsid w:val="00533144"/>
    <w:rsid w:val="00536D5A"/>
    <w:rsid w:val="00545868"/>
    <w:rsid w:val="005471FF"/>
    <w:rsid w:val="005535E4"/>
    <w:rsid w:val="00556AED"/>
    <w:rsid w:val="005605E2"/>
    <w:rsid w:val="0056254C"/>
    <w:rsid w:val="00565A9D"/>
    <w:rsid w:val="005754AA"/>
    <w:rsid w:val="005A3160"/>
    <w:rsid w:val="005B1B29"/>
    <w:rsid w:val="005B2676"/>
    <w:rsid w:val="005C0A0E"/>
    <w:rsid w:val="005C144E"/>
    <w:rsid w:val="005C4496"/>
    <w:rsid w:val="005D0627"/>
    <w:rsid w:val="005E00B2"/>
    <w:rsid w:val="005E552C"/>
    <w:rsid w:val="005E625B"/>
    <w:rsid w:val="005E7D8C"/>
    <w:rsid w:val="00603C88"/>
    <w:rsid w:val="00607F95"/>
    <w:rsid w:val="006107FA"/>
    <w:rsid w:val="00613024"/>
    <w:rsid w:val="006277EF"/>
    <w:rsid w:val="00630F73"/>
    <w:rsid w:val="00646742"/>
    <w:rsid w:val="006518EB"/>
    <w:rsid w:val="00661172"/>
    <w:rsid w:val="00664F6F"/>
    <w:rsid w:val="0067239F"/>
    <w:rsid w:val="006727A2"/>
    <w:rsid w:val="006750EC"/>
    <w:rsid w:val="0068536E"/>
    <w:rsid w:val="006900C5"/>
    <w:rsid w:val="0069216D"/>
    <w:rsid w:val="00696EB6"/>
    <w:rsid w:val="006A3E92"/>
    <w:rsid w:val="006A7A36"/>
    <w:rsid w:val="006B22AA"/>
    <w:rsid w:val="006B682E"/>
    <w:rsid w:val="006F231B"/>
    <w:rsid w:val="006F7937"/>
    <w:rsid w:val="00700231"/>
    <w:rsid w:val="00702F81"/>
    <w:rsid w:val="007042E6"/>
    <w:rsid w:val="007130F3"/>
    <w:rsid w:val="00713C43"/>
    <w:rsid w:val="00715EF0"/>
    <w:rsid w:val="007234C2"/>
    <w:rsid w:val="00730BB5"/>
    <w:rsid w:val="00731BBE"/>
    <w:rsid w:val="00743831"/>
    <w:rsid w:val="00744AD6"/>
    <w:rsid w:val="00747825"/>
    <w:rsid w:val="00751A73"/>
    <w:rsid w:val="0075300C"/>
    <w:rsid w:val="0076210E"/>
    <w:rsid w:val="00763530"/>
    <w:rsid w:val="00764D76"/>
    <w:rsid w:val="00765E69"/>
    <w:rsid w:val="00776299"/>
    <w:rsid w:val="00782023"/>
    <w:rsid w:val="007870C4"/>
    <w:rsid w:val="00792502"/>
    <w:rsid w:val="00794FBA"/>
    <w:rsid w:val="007B24C7"/>
    <w:rsid w:val="007C0EA3"/>
    <w:rsid w:val="007D48E9"/>
    <w:rsid w:val="007D687E"/>
    <w:rsid w:val="007E1F21"/>
    <w:rsid w:val="007E2517"/>
    <w:rsid w:val="007E7E5C"/>
    <w:rsid w:val="007F34A1"/>
    <w:rsid w:val="00807FE2"/>
    <w:rsid w:val="00810927"/>
    <w:rsid w:val="008150C3"/>
    <w:rsid w:val="00823A2C"/>
    <w:rsid w:val="00825F72"/>
    <w:rsid w:val="00826255"/>
    <w:rsid w:val="00835DA1"/>
    <w:rsid w:val="00856DFC"/>
    <w:rsid w:val="00861881"/>
    <w:rsid w:val="00862A4A"/>
    <w:rsid w:val="00865FE0"/>
    <w:rsid w:val="008759D8"/>
    <w:rsid w:val="008905DC"/>
    <w:rsid w:val="008933F5"/>
    <w:rsid w:val="00893CEC"/>
    <w:rsid w:val="00897E05"/>
    <w:rsid w:val="008B17DA"/>
    <w:rsid w:val="008C2F86"/>
    <w:rsid w:val="008D1F16"/>
    <w:rsid w:val="008D43E0"/>
    <w:rsid w:val="008D66BD"/>
    <w:rsid w:val="008D75D5"/>
    <w:rsid w:val="008E678E"/>
    <w:rsid w:val="008E691D"/>
    <w:rsid w:val="0090740A"/>
    <w:rsid w:val="00910D53"/>
    <w:rsid w:val="009177CF"/>
    <w:rsid w:val="00922811"/>
    <w:rsid w:val="0092625C"/>
    <w:rsid w:val="009350C4"/>
    <w:rsid w:val="00943B38"/>
    <w:rsid w:val="00944DF3"/>
    <w:rsid w:val="00945DA0"/>
    <w:rsid w:val="00953C34"/>
    <w:rsid w:val="00957C91"/>
    <w:rsid w:val="0097040E"/>
    <w:rsid w:val="00970C89"/>
    <w:rsid w:val="00972CF7"/>
    <w:rsid w:val="0098031E"/>
    <w:rsid w:val="00981030"/>
    <w:rsid w:val="00993611"/>
    <w:rsid w:val="0099462E"/>
    <w:rsid w:val="009946BF"/>
    <w:rsid w:val="00994F95"/>
    <w:rsid w:val="00997CC4"/>
    <w:rsid w:val="00997F49"/>
    <w:rsid w:val="009A1506"/>
    <w:rsid w:val="009B2E1D"/>
    <w:rsid w:val="009B40E8"/>
    <w:rsid w:val="009B5182"/>
    <w:rsid w:val="009B7758"/>
    <w:rsid w:val="009C0A57"/>
    <w:rsid w:val="009C1A2F"/>
    <w:rsid w:val="009C5C1D"/>
    <w:rsid w:val="009D07D4"/>
    <w:rsid w:val="009D383C"/>
    <w:rsid w:val="009E1EB2"/>
    <w:rsid w:val="009E23D5"/>
    <w:rsid w:val="009E63F3"/>
    <w:rsid w:val="009E776F"/>
    <w:rsid w:val="009F01E0"/>
    <w:rsid w:val="009F17BD"/>
    <w:rsid w:val="00A00094"/>
    <w:rsid w:val="00A05F2A"/>
    <w:rsid w:val="00A13141"/>
    <w:rsid w:val="00A166C1"/>
    <w:rsid w:val="00A205CA"/>
    <w:rsid w:val="00A21D59"/>
    <w:rsid w:val="00A24AC1"/>
    <w:rsid w:val="00A259B7"/>
    <w:rsid w:val="00A26D74"/>
    <w:rsid w:val="00A2794E"/>
    <w:rsid w:val="00A44561"/>
    <w:rsid w:val="00A44719"/>
    <w:rsid w:val="00A61594"/>
    <w:rsid w:val="00A671F0"/>
    <w:rsid w:val="00A726EB"/>
    <w:rsid w:val="00A732AD"/>
    <w:rsid w:val="00A77BA8"/>
    <w:rsid w:val="00A863FF"/>
    <w:rsid w:val="00A90E41"/>
    <w:rsid w:val="00A95229"/>
    <w:rsid w:val="00AA4BE0"/>
    <w:rsid w:val="00AC5168"/>
    <w:rsid w:val="00AC562B"/>
    <w:rsid w:val="00AE1C6B"/>
    <w:rsid w:val="00AE3E71"/>
    <w:rsid w:val="00AF726D"/>
    <w:rsid w:val="00B04A47"/>
    <w:rsid w:val="00B06458"/>
    <w:rsid w:val="00B13A57"/>
    <w:rsid w:val="00B26457"/>
    <w:rsid w:val="00B33710"/>
    <w:rsid w:val="00B35D40"/>
    <w:rsid w:val="00B3760D"/>
    <w:rsid w:val="00B600AC"/>
    <w:rsid w:val="00B71457"/>
    <w:rsid w:val="00B71529"/>
    <w:rsid w:val="00B8271E"/>
    <w:rsid w:val="00B87CEA"/>
    <w:rsid w:val="00B94FCF"/>
    <w:rsid w:val="00BA57E6"/>
    <w:rsid w:val="00BB4196"/>
    <w:rsid w:val="00BB7E13"/>
    <w:rsid w:val="00BC2370"/>
    <w:rsid w:val="00BC292A"/>
    <w:rsid w:val="00BC5C60"/>
    <w:rsid w:val="00BD34ED"/>
    <w:rsid w:val="00BD36D0"/>
    <w:rsid w:val="00BD7A0E"/>
    <w:rsid w:val="00BE07A9"/>
    <w:rsid w:val="00BE1710"/>
    <w:rsid w:val="00BF5FD0"/>
    <w:rsid w:val="00C03F61"/>
    <w:rsid w:val="00C04BF1"/>
    <w:rsid w:val="00C072B6"/>
    <w:rsid w:val="00C31354"/>
    <w:rsid w:val="00C36BF6"/>
    <w:rsid w:val="00C37057"/>
    <w:rsid w:val="00C374FF"/>
    <w:rsid w:val="00C411BC"/>
    <w:rsid w:val="00C419A9"/>
    <w:rsid w:val="00C4354E"/>
    <w:rsid w:val="00C45C0C"/>
    <w:rsid w:val="00C5312F"/>
    <w:rsid w:val="00C54633"/>
    <w:rsid w:val="00C54634"/>
    <w:rsid w:val="00C747EA"/>
    <w:rsid w:val="00C92DDD"/>
    <w:rsid w:val="00C93834"/>
    <w:rsid w:val="00C9712E"/>
    <w:rsid w:val="00CA49BD"/>
    <w:rsid w:val="00CA6C10"/>
    <w:rsid w:val="00CB17E4"/>
    <w:rsid w:val="00CB22EC"/>
    <w:rsid w:val="00CB2E5E"/>
    <w:rsid w:val="00CB690A"/>
    <w:rsid w:val="00CC36B1"/>
    <w:rsid w:val="00CC4024"/>
    <w:rsid w:val="00CC5A3E"/>
    <w:rsid w:val="00CD7A18"/>
    <w:rsid w:val="00CE3760"/>
    <w:rsid w:val="00CE4DC5"/>
    <w:rsid w:val="00CE68BC"/>
    <w:rsid w:val="00CF1991"/>
    <w:rsid w:val="00CF6E1B"/>
    <w:rsid w:val="00CF6E22"/>
    <w:rsid w:val="00D00D9A"/>
    <w:rsid w:val="00D05EDD"/>
    <w:rsid w:val="00D11A05"/>
    <w:rsid w:val="00D15BED"/>
    <w:rsid w:val="00D217D7"/>
    <w:rsid w:val="00D24167"/>
    <w:rsid w:val="00D30B3C"/>
    <w:rsid w:val="00D33D54"/>
    <w:rsid w:val="00D35A26"/>
    <w:rsid w:val="00D52039"/>
    <w:rsid w:val="00D55F44"/>
    <w:rsid w:val="00D719BE"/>
    <w:rsid w:val="00D726C6"/>
    <w:rsid w:val="00D73BFF"/>
    <w:rsid w:val="00D752B5"/>
    <w:rsid w:val="00D7567D"/>
    <w:rsid w:val="00D75948"/>
    <w:rsid w:val="00D768D6"/>
    <w:rsid w:val="00D900FF"/>
    <w:rsid w:val="00D94FCD"/>
    <w:rsid w:val="00DA0AE3"/>
    <w:rsid w:val="00DA0E0D"/>
    <w:rsid w:val="00DA1B5E"/>
    <w:rsid w:val="00DA3507"/>
    <w:rsid w:val="00DA4997"/>
    <w:rsid w:val="00DB3ABF"/>
    <w:rsid w:val="00DB6991"/>
    <w:rsid w:val="00DC0403"/>
    <w:rsid w:val="00DC0B09"/>
    <w:rsid w:val="00DD57B6"/>
    <w:rsid w:val="00DE0388"/>
    <w:rsid w:val="00DE2867"/>
    <w:rsid w:val="00DF4C2A"/>
    <w:rsid w:val="00DF52C3"/>
    <w:rsid w:val="00E13324"/>
    <w:rsid w:val="00E32264"/>
    <w:rsid w:val="00E37E2B"/>
    <w:rsid w:val="00E458BC"/>
    <w:rsid w:val="00E46E43"/>
    <w:rsid w:val="00E47658"/>
    <w:rsid w:val="00E64071"/>
    <w:rsid w:val="00E664F4"/>
    <w:rsid w:val="00E82961"/>
    <w:rsid w:val="00E87945"/>
    <w:rsid w:val="00E87C20"/>
    <w:rsid w:val="00E95D05"/>
    <w:rsid w:val="00EA4ABA"/>
    <w:rsid w:val="00EA6228"/>
    <w:rsid w:val="00EB474A"/>
    <w:rsid w:val="00EC114B"/>
    <w:rsid w:val="00EC3938"/>
    <w:rsid w:val="00EC4149"/>
    <w:rsid w:val="00ED434A"/>
    <w:rsid w:val="00ED79FC"/>
    <w:rsid w:val="00EE27E0"/>
    <w:rsid w:val="00EF2123"/>
    <w:rsid w:val="00EF38FB"/>
    <w:rsid w:val="00EF3BA6"/>
    <w:rsid w:val="00EF4A58"/>
    <w:rsid w:val="00F0199B"/>
    <w:rsid w:val="00F07AAA"/>
    <w:rsid w:val="00F07C6A"/>
    <w:rsid w:val="00F10965"/>
    <w:rsid w:val="00F21E9A"/>
    <w:rsid w:val="00F26356"/>
    <w:rsid w:val="00F273F6"/>
    <w:rsid w:val="00F2776B"/>
    <w:rsid w:val="00F32431"/>
    <w:rsid w:val="00F420A9"/>
    <w:rsid w:val="00F51E86"/>
    <w:rsid w:val="00F53438"/>
    <w:rsid w:val="00F576D7"/>
    <w:rsid w:val="00F61947"/>
    <w:rsid w:val="00F62251"/>
    <w:rsid w:val="00F8073B"/>
    <w:rsid w:val="00F92CFB"/>
    <w:rsid w:val="00F94DAF"/>
    <w:rsid w:val="00FA379B"/>
    <w:rsid w:val="00FA3941"/>
    <w:rsid w:val="00FB2183"/>
    <w:rsid w:val="00FC42B8"/>
    <w:rsid w:val="00FC64F0"/>
    <w:rsid w:val="00FC7E7E"/>
    <w:rsid w:val="00FD30ED"/>
    <w:rsid w:val="00FD320F"/>
    <w:rsid w:val="00FD6D11"/>
    <w:rsid w:val="00FE0BC0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,"/>
  <w14:docId w14:val="6ED5E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D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0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50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7057"/>
  </w:style>
  <w:style w:type="character" w:styleId="CommentReference">
    <w:name w:val="annotation reference"/>
    <w:basedOn w:val="DefaultParagraphFont"/>
    <w:semiHidden/>
    <w:rsid w:val="00BD34ED"/>
    <w:rPr>
      <w:sz w:val="16"/>
      <w:szCs w:val="16"/>
    </w:rPr>
  </w:style>
  <w:style w:type="paragraph" w:styleId="BalloonText">
    <w:name w:val="Balloon Text"/>
    <w:basedOn w:val="Normal"/>
    <w:semiHidden/>
    <w:rsid w:val="006130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78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47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C64F0"/>
    <w:rPr>
      <w:sz w:val="24"/>
      <w:szCs w:val="24"/>
    </w:rPr>
  </w:style>
  <w:style w:type="paragraph" w:customStyle="1" w:styleId="DFARS">
    <w:name w:val="DFARS"/>
    <w:basedOn w:val="Normal"/>
    <w:rsid w:val="00713C43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line="240" w:lineRule="exact"/>
    </w:pPr>
    <w:rPr>
      <w:rFonts w:ascii="Century Schoolbook" w:hAnsi="Century Schoolbook"/>
      <w:spacing w:val="-5"/>
      <w:kern w:val="20"/>
      <w:szCs w:val="20"/>
    </w:rPr>
  </w:style>
  <w:style w:type="paragraph" w:styleId="FootnoteText">
    <w:name w:val="footnote text"/>
    <w:basedOn w:val="Normal"/>
    <w:link w:val="FootnoteTextChar"/>
    <w:rsid w:val="009A15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1506"/>
  </w:style>
  <w:style w:type="character" w:styleId="FootnoteReference">
    <w:name w:val="footnote reference"/>
    <w:basedOn w:val="DefaultParagraphFont"/>
    <w:rsid w:val="009A1506"/>
    <w:rPr>
      <w:vertAlign w:val="superscript"/>
    </w:rPr>
  </w:style>
  <w:style w:type="paragraph" w:styleId="CommentText">
    <w:name w:val="annotation text"/>
    <w:basedOn w:val="Normal"/>
    <w:link w:val="CommentTextChar"/>
    <w:rsid w:val="00BE0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7A9"/>
  </w:style>
  <w:style w:type="paragraph" w:styleId="CommentSubject">
    <w:name w:val="annotation subject"/>
    <w:basedOn w:val="CommentText"/>
    <w:next w:val="CommentText"/>
    <w:link w:val="CommentSubjectChar"/>
    <w:rsid w:val="00BE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07A9"/>
    <w:rPr>
      <w:b/>
      <w:bCs/>
    </w:rPr>
  </w:style>
  <w:style w:type="character" w:styleId="FollowedHyperlink">
    <w:name w:val="FollowedHyperlink"/>
    <w:basedOn w:val="DefaultParagraphFont"/>
    <w:rsid w:val="00BC237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96E3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1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d.pentagon.ousd-a-s.mbx.dpc-cp@mail.m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4B38A-D617-44C0-AC30-DA5D921F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7329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mailto:meredith.murphy@osd.mil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2023-12-22T14:03:00Z</dcterms:created>
  <dcterms:modified xsi:type="dcterms:W3CDTF">2023-12-22T14:03:00Z</dcterms:modified>
</cp:coreProperties>
</file>