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3d85c6"/>
          <w:sz w:val="28"/>
          <w:szCs w:val="28"/>
          <w:rtl w:val="0"/>
        </w:rPr>
        <w:t xml:space="preserve">Department of the Interior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contextualSpacing w:val="0"/>
        <w:rPr>
          <w:b w:val="1"/>
          <w:color w:val="3d85c6"/>
          <w:sz w:val="28"/>
          <w:szCs w:val="28"/>
        </w:rPr>
      </w:pPr>
      <w:r w:rsidDel="00000000" w:rsidR="00000000" w:rsidRPr="00000000">
        <w:rPr>
          <w:b w:val="1"/>
          <w:color w:val="3d85c6"/>
          <w:sz w:val="28"/>
          <w:szCs w:val="28"/>
          <w:rtl w:val="0"/>
        </w:rPr>
        <w:t xml:space="preserve">Acquisition, Assistance, and Asset Policy (DOI-AAAP)</w:t>
      </w:r>
    </w:p>
    <w:tbl>
      <w:tblPr>
        <w:tblStyle w:val="Table1"/>
        <w:tblW w:w="9030.0" w:type="dxa"/>
        <w:jc w:val="left"/>
        <w:tblInd w:w="115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5"/>
        <w:gridCol w:w="5775"/>
        <w:tblGridChange w:id="0">
          <w:tblGrid>
            <w:gridCol w:w="3255"/>
            <w:gridCol w:w="577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Class Deviation - </w:t>
            </w:r>
            <w:r w:rsidDel="00000000" w:rsidR="00000000" w:rsidRPr="00000000">
              <w:rPr>
                <w:rtl w:val="0"/>
              </w:rPr>
              <w:t xml:space="preserve">Increasing the Micro-purchase Threshold and the Simplified Acquisition Threshold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Reference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0148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Version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color w:val="073763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Function(s)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Acquisition and Charge Card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Point of Contact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Binita Sharma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Source of this Requirement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Civilian Agency Acquisition Council (CAAC) Letter </w:t>
              </w:r>
            </w:hyperlink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2018-02, Class Deviation from the Federal Acquisition Regulation (FAR)  increasing the micro-purchase threshold and the simplified acquisition threshold. </w:t>
              </w:r>
            </w:hyperlink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color w:val="073763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Regulatory and Statutory Reference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FAR</w:t>
              </w:r>
            </w:hyperlink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1.4</w:t>
              </w:r>
            </w:hyperlink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FAR Case 2018-004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color w:val="073763"/>
          <w:rtl w:val="0"/>
        </w:rPr>
        <w:t xml:space="preserve">Version Detail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15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5"/>
        <w:gridCol w:w="1440"/>
        <w:gridCol w:w="1500"/>
        <w:gridCol w:w="5325"/>
        <w:tblGridChange w:id="0">
          <w:tblGrid>
            <w:gridCol w:w="1095"/>
            <w:gridCol w:w="1440"/>
            <w:gridCol w:w="1500"/>
            <w:gridCol w:w="5325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3d85c6"/>
                <w:sz w:val="20"/>
                <w:szCs w:val="20"/>
                <w:rtl w:val="0"/>
              </w:rPr>
              <w:t xml:space="preserve">Version Number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color w:val="3d85c6"/>
                <w:sz w:val="20"/>
                <w:szCs w:val="20"/>
              </w:rPr>
            </w:pPr>
            <w:r w:rsidDel="00000000" w:rsidR="00000000" w:rsidRPr="00000000">
              <w:rPr>
                <w:color w:val="3d85c6"/>
                <w:sz w:val="20"/>
                <w:szCs w:val="2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color w:val="3d85c6"/>
                <w:sz w:val="20"/>
                <w:szCs w:val="20"/>
              </w:rPr>
            </w:pPr>
            <w:r w:rsidDel="00000000" w:rsidR="00000000" w:rsidRPr="00000000">
              <w:rPr>
                <w:color w:val="3d85c6"/>
                <w:sz w:val="20"/>
                <w:szCs w:val="20"/>
                <w:rtl w:val="0"/>
              </w:rPr>
              <w:t xml:space="preserve">Author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color w:val="3d85c6"/>
                <w:sz w:val="20"/>
                <w:szCs w:val="20"/>
              </w:rPr>
            </w:pPr>
            <w:r w:rsidDel="00000000" w:rsidR="00000000" w:rsidRPr="00000000">
              <w:rPr>
                <w:color w:val="3d85c6"/>
                <w:sz w:val="20"/>
                <w:szCs w:val="20"/>
                <w:rtl w:val="0"/>
              </w:rPr>
              <w:t xml:space="preserve">Description of update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05/02/2018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Binita Sharma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Implements the CAAC Deviation and communicates the new micro-purchase threshold and Simplified Acquisition Threshold.</w:t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Purpose: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This policy issues a class deviation, in accordance with the Federal Acquisition Regulation (FAR) 1.4 and </w:t>
      </w:r>
      <w:hyperlink w:anchor="t4i95wesdisn">
        <w:r w:rsidDel="00000000" w:rsidR="00000000" w:rsidRPr="00000000">
          <w:rPr>
            <w:color w:val="1155cc"/>
            <w:u w:val="single"/>
            <w:rtl w:val="0"/>
          </w:rPr>
          <w:t xml:space="preserve">Attachment A – Civilian Agency Acquisition Council (CAAC) Letter 2018-02, Class Deviation from the Federal Acquisition Regulation (FAR) Increasing the Micro-Purchase Threshold and the Simplified Acquisition Threshold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(CAAC Letter 2018-02).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color w:val="1c4587"/>
          <w:rtl w:val="0"/>
        </w:rPr>
        <w:t xml:space="preserve">Scope: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This policy applies to all DOI acquisitions that are impacted by the new thresholds in accordance with </w:t>
      </w:r>
      <w:hyperlink w:anchor="t4i95wesdisn">
        <w:r w:rsidDel="00000000" w:rsidR="00000000" w:rsidRPr="00000000">
          <w:rPr>
            <w:color w:val="1155cc"/>
            <w:u w:val="single"/>
            <w:rtl w:val="0"/>
          </w:rPr>
          <w:t xml:space="preserve">CAAC Letter 2018-02</w:t>
        </w:r>
      </w:hyperlink>
      <w:hyperlink w:anchor="t4i95wesdisn">
        <w:r w:rsidDel="00000000" w:rsidR="00000000" w:rsidRPr="00000000">
          <w:rPr>
            <w:color w:val="1155cc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color w:val="1c4587"/>
          <w:rtl w:val="0"/>
        </w:rPr>
        <w:t xml:space="preserve">Effective date: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This policy is e</w:t>
      </w:r>
      <w:r w:rsidDel="00000000" w:rsidR="00000000" w:rsidRPr="00000000">
        <w:rPr>
          <w:rtl w:val="0"/>
        </w:rPr>
        <w:t xml:space="preserve">ffective upon signature and</w:t>
      </w:r>
      <w:r w:rsidDel="00000000" w:rsidR="00000000" w:rsidRPr="00000000">
        <w:rPr>
          <w:rtl w:val="0"/>
        </w:rPr>
        <w:t xml:space="preserve"> remains in effect until the increased thresholds are incorporated into the FAR or this policy is otherwise rescinded.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b w:val="1"/>
          <w:color w:val="1c4587"/>
          <w:rtl w:val="0"/>
        </w:rPr>
        <w:t xml:space="preserve">Background: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The National Defense Authorization Act for Fiscal Year 2018 (NDAA FY18) (Public Law 115-91) </w:t>
      </w:r>
      <w:r w:rsidDel="00000000" w:rsidR="00000000" w:rsidRPr="00000000">
        <w:rPr>
          <w:rtl w:val="0"/>
        </w:rPr>
        <w:t xml:space="preserve">(Sections 806 and 805 respectively) increased the micro-purchase threshold to $10,000 and the ​simplified acquisition threshold (SAT) to $250,000.   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Additionally, Section 217(b) of the NDAA FY 2017 (Public Law 114-328) changed a portion of the micro-purchase threshold definition in FAR 2.101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to increase the micro-purchase threshold for acquisitions from institutions of higher education or related or affiliated nonprofit entities, or from nonprofit research organizations or independent research institutes, to $10,000. 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FAR Case 2018-004 has been opened to implement the appropriate statutory changes in the FAR.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b w:val="1"/>
          <w:color w:val="1c4587"/>
          <w:rtl w:val="0"/>
        </w:rPr>
        <w:t xml:space="preserve">Action: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Contracting Officers must use the guidance in </w:t>
      </w:r>
      <w:hyperlink w:anchor="t4i95wesdisn">
        <w:r w:rsidDel="00000000" w:rsidR="00000000" w:rsidRPr="00000000">
          <w:rPr>
            <w:color w:val="1155cc"/>
            <w:u w:val="single"/>
            <w:rtl w:val="0"/>
          </w:rPr>
          <w:t xml:space="preserve">Attachment A </w:t>
        </w:r>
      </w:hyperlink>
      <w:r w:rsidDel="00000000" w:rsidR="00000000" w:rsidRPr="00000000">
        <w:rPr>
          <w:rtl w:val="0"/>
        </w:rPr>
        <w:t xml:space="preserve">as the FAR text with highlights of the appropriate FAR citations that implement the increased thresholds. 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Use the guidance in </w:t>
      </w:r>
      <w:hyperlink w:anchor="t4i95wesdisn">
        <w:r w:rsidDel="00000000" w:rsidR="00000000" w:rsidRPr="00000000">
          <w:rPr>
            <w:color w:val="1155cc"/>
            <w:u w:val="single"/>
            <w:rtl w:val="0"/>
          </w:rPr>
          <w:t xml:space="preserve">Attachment A</w:t>
        </w:r>
      </w:hyperlink>
      <w:r w:rsidDel="00000000" w:rsidR="00000000" w:rsidRPr="00000000">
        <w:rPr>
          <w:rtl w:val="0"/>
        </w:rPr>
        <w:t xml:space="preserve"> under the section labeled “Attachment B” as the rationale for changing or not changing thresholds in the FAR related to the micro-purchase threshold and the SAT.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b w:val="1"/>
          <w:color w:val="1c4587"/>
          <w:rtl w:val="0"/>
        </w:rPr>
        <w:t xml:space="preserve">Attachments: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The following attachments apply to this policy: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bookmarkStart w:colFirst="0" w:colLast="0" w:name="t4i95wesdisn" w:id="0"/>
    <w:bookmarkEnd w:id="0"/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Attachment A – 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Civilian Agency Acquisition Council (CAAC) Letter 2018-02, Class Deviation from the Federal Acquisition Regulation (FAR) Increasing the Micro-Purchase Threshold and the Simplified Acquisition Threshold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bookmarkStart w:colFirst="0" w:colLast="0" w:name="axjiy9kndppy" w:id="1"/>
    <w:bookmarkEnd w:id="1"/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Attachment B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–</w:t>
        </w:r>
      </w:hyperlink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Class Determinations and Finding: Increasing the Micro-Purchase Threshold and the Simplified Acquisition Threshold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Approval Signature: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  <w:t xml:space="preserve">The signature provided in the table below serves as the digital signature for this document. By replacing the Block 1 with a name and Block 2 with date, the Director, Office of Acquisition and Property Management approves the policy described in this document. (Use the following method to check signature authentication via revision history: on keyboard, press and hold Ctrl+Alt+Shift+H)</w:t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60"/>
        <w:gridCol w:w="2100"/>
        <w:tblGridChange w:id="0">
          <w:tblGrid>
            <w:gridCol w:w="7260"/>
            <w:gridCol w:w="21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Megan Olsen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May 2, 2018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Director, Office of Acquisition and Property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280" w:lineRule="auto"/>
      <w:contextualSpacing w:val="0"/>
      <w:jc w:val="right"/>
      <w:rPr>
        <w:i w:val="1"/>
        <w:color w:val="6d9eeb"/>
      </w:rPr>
    </w:pPr>
    <w:r w:rsidDel="00000000" w:rsidR="00000000" w:rsidRPr="00000000">
      <w:rPr>
        <w:i w:val="1"/>
        <w:color w:val="6d9eeb"/>
        <w:rtl w:val="0"/>
      </w:rPr>
      <w:t xml:space="preserve">Department of the Interior Acquisition, Assistance, and Asset Policy (DOI-AAAP)</w:t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i w:val="1"/>
        <w:color w:val="6d9eeb"/>
      </w:rPr>
    </w:pPr>
    <w:r w:rsidDel="00000000" w:rsidR="00000000" w:rsidRPr="00000000">
      <w:rPr>
        <w:i w:val="1"/>
        <w:color w:val="6d9eeb"/>
        <w:rtl w:val="0"/>
      </w:rPr>
      <w:t xml:space="preserve">Office of Acquisition and Property Management (PAM)</w:t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i w:val="1"/>
        <w:color w:val="990000"/>
      </w:rPr>
    </w:pPr>
    <w:r w:rsidDel="00000000" w:rsidR="00000000" w:rsidRPr="00000000">
      <w:rPr>
        <w:i w:val="1"/>
        <w:color w:val="990000"/>
        <w:rtl w:val="0"/>
      </w:rPr>
      <w:t xml:space="preserve">FINAL 05/02/2018</w:t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i w:val="1"/>
        <w:color w:val="6d9eeb"/>
      </w:rPr>
    </w:pPr>
    <w:r w:rsidDel="00000000" w:rsidR="00000000" w:rsidRPr="00000000">
      <w:rPr>
        <w:i w:val="1"/>
        <w:color w:val="6d9eeb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pPr>
      <w:spacing w:after="0"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cquisition.gov/sites/default/files/page_file_uploads/CAAC%20Letter%202018-02.pdf" TargetMode="External"/><Relationship Id="rId10" Type="http://schemas.openxmlformats.org/officeDocument/2006/relationships/hyperlink" Target="https://www.ecfr.gov/cgi-bin/text-idx?SID=9da985b30ca3f2ce6c10fc6dcfa7d9b3&amp;mc=true&amp;node=sp48.1.1.1_14&amp;rgn=div6" TargetMode="External"/><Relationship Id="rId13" Type="http://schemas.openxmlformats.org/officeDocument/2006/relationships/hyperlink" Target="https://drive.google.com/file/d/0B4aFlF7-M8MpcDhrVElad0h0ZlhzckZJVFd1ZGVPcDE2Slp3/view?usp=sharing" TargetMode="External"/><Relationship Id="rId12" Type="http://schemas.openxmlformats.org/officeDocument/2006/relationships/hyperlink" Target="https://www.acquisition.gov/sites/default/files/page_file_uploads/CAAC%20Letter%202018-02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cfr.gov/cgi-bin/text-idx?SID=9da985b30ca3f2ce6c10fc6dcfa7d9b3&amp;mc=true&amp;node=sp48.1.1.1_14&amp;rgn=div6" TargetMode="External"/><Relationship Id="rId15" Type="http://schemas.openxmlformats.org/officeDocument/2006/relationships/hyperlink" Target="https://drive.google.com/file/d/0B4aFlF7-M8MpcDhrVElad0h0ZlhzckZJVFd1ZGVPcDE2Slp3/view?usp=sharing" TargetMode="External"/><Relationship Id="rId14" Type="http://schemas.openxmlformats.org/officeDocument/2006/relationships/hyperlink" Target="https://drive.google.com/file/d/0B4aFlF7-M8MpcDhrVElad0h0ZlhzckZJVFd1ZGVPcDE2Slp3/view?usp=sharing" TargetMode="External"/><Relationship Id="rId17" Type="http://schemas.openxmlformats.org/officeDocument/2006/relationships/hyperlink" Target="https://drive.google.com/file/d/0B4aFlF7-M8MpcDhrVElad0h0ZlhzckZJVFd1ZGVPcDE2Slp3/view?usp=sharing" TargetMode="External"/><Relationship Id="rId16" Type="http://schemas.openxmlformats.org/officeDocument/2006/relationships/hyperlink" Target="https://drive.google.com/file/d/0B4aFlF7-M8MpcDhrVElad0h0ZlhzckZJVFd1ZGVPcDE2Slp3/view?usp=sharing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hyperlink" Target="https://www.acquisition.gov/sites/default/files/page_file_uploads/CAAC%20Letter%202018-02.pdf" TargetMode="External"/><Relationship Id="rId18" Type="http://schemas.openxmlformats.org/officeDocument/2006/relationships/header" Target="header1.xml"/><Relationship Id="rId7" Type="http://schemas.openxmlformats.org/officeDocument/2006/relationships/hyperlink" Target="https://www.acquisition.gov/sites/default/files/page_file_uploads/CAAC%20Letter%202018-02.pdf" TargetMode="External"/><Relationship Id="rId8" Type="http://schemas.openxmlformats.org/officeDocument/2006/relationships/hyperlink" Target="https://www.acquisition.gov/sites/default/files/page_file_uploads/CAAC%20Letter%202018-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