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192A4" w14:textId="59FFD14A" w:rsidR="00F47308" w:rsidRPr="00BF53A7" w:rsidRDefault="0046472C" w:rsidP="00C849CD">
      <w:pPr>
        <w:pStyle w:val="Title"/>
      </w:pPr>
      <w:r w:rsidRPr="00491016">
        <w:rPr>
          <w:noProof/>
        </w:rPr>
        <mc:AlternateContent>
          <mc:Choice Requires="wps">
            <w:drawing>
              <wp:anchor distT="0" distB="0" distL="114300" distR="114300" simplePos="0" relativeHeight="251658240" behindDoc="0" locked="0" layoutInCell="1" allowOverlap="1" wp14:anchorId="1D47D854" wp14:editId="068ED9BE">
                <wp:simplePos x="0" y="0"/>
                <wp:positionH relativeFrom="column">
                  <wp:posOffset>55880</wp:posOffset>
                </wp:positionH>
                <wp:positionV relativeFrom="paragraph">
                  <wp:posOffset>-904875</wp:posOffset>
                </wp:positionV>
                <wp:extent cx="6032500" cy="1003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032500" cy="1003300"/>
                        </a:xfrm>
                        <a:prstGeom prst="rect">
                          <a:avLst/>
                        </a:prstGeom>
                        <a:noFill/>
                        <a:ln w="6350">
                          <a:noFill/>
                        </a:ln>
                      </wps:spPr>
                      <wps:txbx>
                        <w:txbxContent>
                          <w:p w14:paraId="5E0CAE67" w14:textId="77777777" w:rsidR="00F47308" w:rsidRPr="00F43CD3" w:rsidRDefault="00F47308" w:rsidP="00F43CD3">
                            <w:pPr>
                              <w:pStyle w:val="Headertitle"/>
                            </w:pPr>
                            <w:r w:rsidRPr="00F43CD3">
                              <w:t>AHRQ Safety Program for Improving</w:t>
                            </w:r>
                          </w:p>
                          <w:p w14:paraId="278B8A20" w14:textId="5ED0089B" w:rsidR="0068281D" w:rsidRPr="00F43CD3" w:rsidRDefault="00F47308" w:rsidP="00F43CD3">
                            <w:pPr>
                              <w:pStyle w:val="Headertitle"/>
                            </w:pPr>
                            <w:r w:rsidRPr="00F43CD3">
                              <w:t>Surgical Care and Recovery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7D854" id="_x0000_t202" coordsize="21600,21600" o:spt="202" path="m,l,21600r21600,l21600,xe">
                <v:stroke joinstyle="miter"/>
                <v:path gradientshapeok="t" o:connecttype="rect"/>
              </v:shapetype>
              <v:shape id="Text Box 3" o:spid="_x0000_s1026" type="#_x0000_t202" style="position:absolute;margin-left:4.4pt;margin-top:-71.25pt;width:475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raFwIAAC8EAAAOAAAAZHJzL2Uyb0RvYy54bWysU8lu2zAQvRfoPxC815K3NBUsB24CFwWC&#10;JIBT5ExTpCWA5LAkbcn9+g4peUHaU9ELNcMZzfLe4+Ku04ochPMNmJKORzklwnCoGrMr6Y/X9adb&#10;SnxgpmIKjCjpUXh6t/z4YdHaQkygBlUJR7CI8UVrS1qHYIss87wWmvkRWGEwKMFpFtB1u6xyrMXq&#10;WmWTPL/JWnCVdcCF93j70AfpMtWXUvDwLKUXgaiS4mwhnS6d23hmywUrdo7ZuuHDGOwfptCsMdj0&#10;XOqBBUb2rvmjlG64Aw8yjDjoDKRsuEg74Dbj/N02m5pZkXZBcLw9w+T/X1n+dNjYF0dC9xU6JDAC&#10;0lpfeLyM+3TS6fjFSQnGEcLjGTbRBcLx8iafTuY5hjjGxnk+naKDdbLL79b58E2AJtEoqUNeElzs&#10;8OhDn3pKid0MrBulEjfKkBZbTOd5+uEcweLKYI/LsNEK3bYbNthCdcTFHPSce8vXDTZ/ZD68MIck&#10;48Ao3PCMh1SATWCwKKnB/frbfcxH7DFKSYuiKan/uWdOUKK+G2Tly3g2iypLzmz+eYKOu45sryNm&#10;r+8BdTnGJ2J5MmN+UCdTOtBvqO9V7IohZjj2LikP7uTch17M+EK4WK1SGirLsvBoNpbH4hHQCO5r&#10;98acHRgISN4TnATGindE9Lk9Fat9ANkkliLEPa4D8qjKxPPwgqLsr/2UdXnny98AAAD//wMAUEsD&#10;BBQABgAIAAAAIQARpi674AAAAAkBAAAPAAAAZHJzL2Rvd25yZXYueG1sTI/BTsMwDIbvSLxDZCQu&#10;aEs3rTBK0wlNQuqhlw2ExC1rTFOtcUqTdeXt8U7saPvT7+/PN5PrxIhDaD0pWMwTEEi1Ny01Cj7e&#10;32ZrECFqMrrzhAp+McCmuL3JdWb8mXY47mMjOIRCphXYGPtMylBbdDrMfY/Et28/OB15HBppBn3m&#10;cNfJZZI8Sqdb4g9W97i1WB/3J6dg/CxXZjfaODxsqzIpj9XP01el1P3d9PoCIuIU/2G46LM6FOx0&#10;8CcyQXQK1iweFcwWq2UKgoHn9LI6MJmmIItcXjco/gAAAP//AwBQSwECLQAUAAYACAAAACEAtoM4&#10;kv4AAADhAQAAEwAAAAAAAAAAAAAAAAAAAAAAW0NvbnRlbnRfVHlwZXNdLnhtbFBLAQItABQABgAI&#10;AAAAIQA4/SH/1gAAAJQBAAALAAAAAAAAAAAAAAAAAC8BAABfcmVscy8ucmVsc1BLAQItABQABgAI&#10;AAAAIQCMHsraFwIAAC8EAAAOAAAAAAAAAAAAAAAAAC4CAABkcnMvZTJvRG9jLnhtbFBLAQItABQA&#10;BgAIAAAAIQARpi674AAAAAkBAAAPAAAAAAAAAAAAAAAAAHEEAABkcnMvZG93bnJldi54bWxQSwUG&#10;AAAAAAQABADzAAAAfgUAAAAA&#10;" filled="f" stroked="f" strokeweight=".5pt">
                <v:textbox>
                  <w:txbxContent>
                    <w:p w14:paraId="5E0CAE67" w14:textId="77777777" w:rsidR="00F47308" w:rsidRPr="00F43CD3" w:rsidRDefault="00F47308" w:rsidP="00F43CD3">
                      <w:pPr>
                        <w:pStyle w:val="Headertitle"/>
                      </w:pPr>
                      <w:r w:rsidRPr="00F43CD3">
                        <w:t>AHRQ Safety Program for Improving</w:t>
                      </w:r>
                    </w:p>
                    <w:p w14:paraId="278B8A20" w14:textId="5ED0089B" w:rsidR="0068281D" w:rsidRPr="00F43CD3" w:rsidRDefault="00F47308" w:rsidP="00F43CD3">
                      <w:pPr>
                        <w:pStyle w:val="Headertitle"/>
                      </w:pPr>
                      <w:r w:rsidRPr="00F43CD3">
                        <w:t>Surgical Care and Recovery</w:t>
                      </w:r>
                    </w:p>
                  </w:txbxContent>
                </v:textbox>
              </v:shape>
            </w:pict>
          </mc:Fallback>
        </mc:AlternateContent>
      </w:r>
      <w:r w:rsidR="00F47308" w:rsidRPr="00BF53A7">
        <w:t xml:space="preserve">Engaging Frontline Staff </w:t>
      </w:r>
      <w:proofErr w:type="gramStart"/>
      <w:r w:rsidR="008D4E36">
        <w:t>W</w:t>
      </w:r>
      <w:r w:rsidR="00F47308" w:rsidRPr="00BF53A7">
        <w:t>ith</w:t>
      </w:r>
      <w:proofErr w:type="gramEnd"/>
      <w:r w:rsidR="00F47308" w:rsidRPr="00BF53A7">
        <w:t xml:space="preserve"> ISCR </w:t>
      </w:r>
      <w:bookmarkStart w:id="0" w:name="_Hlk89417977"/>
      <w:r w:rsidR="00F47308" w:rsidRPr="00BF53A7">
        <w:t>Process and Outcome Data</w:t>
      </w:r>
      <w:bookmarkEnd w:id="0"/>
    </w:p>
    <w:p w14:paraId="04E351A8" w14:textId="5DDA6755" w:rsidR="00F47308" w:rsidRPr="00BF53A7" w:rsidRDefault="54032375" w:rsidP="00BF53A7">
      <w:pPr>
        <w:pStyle w:val="BodyText1"/>
      </w:pPr>
      <w:r w:rsidRPr="00D97413">
        <w:rPr>
          <w:b/>
          <w:bCs/>
        </w:rPr>
        <w:t>Purpose of tool:</w:t>
      </w:r>
      <w:r>
        <w:t xml:space="preserve"> </w:t>
      </w:r>
      <w:r w:rsidR="5DEDCDBA">
        <w:t xml:space="preserve">To engage frontline staff in the </w:t>
      </w:r>
      <w:r w:rsidR="004F775C" w:rsidRPr="004F775C">
        <w:t>Agency for Healthcare Research and Quality (AHRQ) Safety Program for Improving Surgical Care and Recovery (ISCR)</w:t>
      </w:r>
      <w:r w:rsidR="5DEDCDBA">
        <w:t xml:space="preserve"> by </w:t>
      </w:r>
      <w:r w:rsidR="51BEE004">
        <w:t xml:space="preserve">showing </w:t>
      </w:r>
      <w:r w:rsidR="147C9F4D">
        <w:t xml:space="preserve">process and </w:t>
      </w:r>
      <w:r w:rsidR="51BEE004">
        <w:t xml:space="preserve">outcomes data </w:t>
      </w:r>
      <w:r w:rsidR="30B01054">
        <w:t xml:space="preserve">to </w:t>
      </w:r>
      <w:r w:rsidR="35838177">
        <w:t>show progress in meeting program goals</w:t>
      </w:r>
      <w:r w:rsidR="0C718D68">
        <w:t xml:space="preserve">. </w:t>
      </w:r>
      <w:r w:rsidR="00F47308">
        <w:t xml:space="preserve">Too often, data </w:t>
      </w:r>
      <w:r w:rsidR="00F60FC8">
        <w:t xml:space="preserve">are </w:t>
      </w:r>
      <w:r w:rsidR="00F47308">
        <w:t>not shared with frontline providers, and opportunities for improvement are lost.</w:t>
      </w:r>
      <w:r w:rsidR="006F1152">
        <w:t xml:space="preserve"> </w:t>
      </w:r>
    </w:p>
    <w:p w14:paraId="1FC056BA" w14:textId="4B11902D" w:rsidR="00F47308" w:rsidRPr="00BF53A7" w:rsidRDefault="1B21CBB9" w:rsidP="00BF53A7">
      <w:pPr>
        <w:pStyle w:val="BodyText1"/>
      </w:pPr>
      <w:r w:rsidRPr="00D97413">
        <w:rPr>
          <w:b/>
          <w:bCs/>
        </w:rPr>
        <w:t xml:space="preserve">How to use: </w:t>
      </w:r>
      <w:r w:rsidR="00F47308">
        <w:t xml:space="preserve">Share your hospital’s process and outcome measure performance with stakeholders who can help you improve. Stakeholders are anyone who will be involved in the ISCR </w:t>
      </w:r>
      <w:r w:rsidR="000A228E">
        <w:t>program</w:t>
      </w:r>
      <w:r w:rsidR="00F47308">
        <w:t>, including any group of people who will be asked to do something different or have influence over the project. Think about groups of people and specific individuals within those groups. Within each stakeholder group, who are influential people you should talk to? Typical ISCR stakeholder groups include: surgeons, anesthesiologists/certified registered nurse anesthetists, operating room nurses, pharmacy</w:t>
      </w:r>
      <w:r w:rsidR="00334A06">
        <w:t xml:space="preserve"> staff</w:t>
      </w:r>
      <w:r w:rsidR="00F47308">
        <w:t>, infection control</w:t>
      </w:r>
      <w:r w:rsidR="00334A06">
        <w:t xml:space="preserve"> staff,</w:t>
      </w:r>
      <w:r w:rsidR="00F47308">
        <w:t xml:space="preserve"> prep/post-anesthesia care unit nurses, inpatient/postoperative nurses, and clinic/doctor’s office staff. Use the tables below as a guide to ensure that you are getting your data out to all stakeholders </w:t>
      </w:r>
      <w:r w:rsidR="002B6A31">
        <w:t xml:space="preserve">at </w:t>
      </w:r>
      <w:r w:rsidR="00F47308">
        <w:t xml:space="preserve">regular intervals. </w:t>
      </w:r>
    </w:p>
    <w:p w14:paraId="24257A7E" w14:textId="0AC64378" w:rsidR="002B6A31" w:rsidRDefault="00F47308" w:rsidP="00BF53A7">
      <w:pPr>
        <w:pStyle w:val="BodyText1"/>
      </w:pPr>
      <w:r w:rsidRPr="00BF53A7">
        <w:t xml:space="preserve">The </w:t>
      </w:r>
      <w:r w:rsidR="007F0652">
        <w:t xml:space="preserve">sample </w:t>
      </w:r>
      <w:r w:rsidRPr="00BF53A7">
        <w:t>core outcome and process measures are applicable across all ISCR pathways</w:t>
      </w:r>
      <w:r w:rsidR="008D4E36">
        <w:t>,</w:t>
      </w:r>
      <w:r w:rsidRPr="00BF53A7">
        <w:t xml:space="preserve"> and the </w:t>
      </w:r>
      <w:r w:rsidR="007F0652">
        <w:t>sample</w:t>
      </w:r>
      <w:r w:rsidR="007F0652" w:rsidRPr="00BF53A7">
        <w:t xml:space="preserve"> </w:t>
      </w:r>
      <w:r w:rsidRPr="00BF53A7">
        <w:t>surgery</w:t>
      </w:r>
      <w:r w:rsidR="00F60FC8">
        <w:t>-</w:t>
      </w:r>
      <w:r w:rsidRPr="00BF53A7">
        <w:t xml:space="preserve">specific process measures are applicable to one or more ISCR pathways, as noted. These tables can be modified to focus on the pathway(s) your team is implementing and </w:t>
      </w:r>
      <w:r w:rsidR="007F0652">
        <w:t xml:space="preserve">to identify </w:t>
      </w:r>
      <w:r w:rsidRPr="00BF53A7">
        <w:t xml:space="preserve">the outcomes and processes you </w:t>
      </w:r>
      <w:r w:rsidRPr="00633C34">
        <w:t>choose to measure</w:t>
      </w:r>
      <w:r w:rsidR="002B6A31">
        <w:t xml:space="preserve"> by adding or deleting processes or outcomes based on relevancy</w:t>
      </w:r>
      <w:r w:rsidRPr="00633C34">
        <w:t xml:space="preserve">. </w:t>
      </w:r>
      <w:r w:rsidR="002A4EA0" w:rsidRPr="00633C34">
        <w:t>In any case, m</w:t>
      </w:r>
      <w:r w:rsidR="00F60FC8" w:rsidRPr="00633C34">
        <w:t>easure criteria should be agreed upon and clarified beforehand</w:t>
      </w:r>
      <w:r w:rsidR="00AF56C9" w:rsidRPr="00633C34">
        <w:t xml:space="preserve">, and </w:t>
      </w:r>
      <w:r w:rsidR="00D91D7B" w:rsidRPr="00633C34">
        <w:t xml:space="preserve">they should be </w:t>
      </w:r>
      <w:r w:rsidR="00AF56C9" w:rsidRPr="00633C34">
        <w:t>specific to the evidence-based processes your team has chosen to implement (e.g.</w:t>
      </w:r>
      <w:r w:rsidR="00D91D7B" w:rsidRPr="00633C34">
        <w:t>,</w:t>
      </w:r>
      <w:r w:rsidR="00AF56C9" w:rsidRPr="00633C34">
        <w:t xml:space="preserve"> your specific </w:t>
      </w:r>
      <w:r w:rsidR="00D55E92" w:rsidRPr="00633C34">
        <w:t>preop</w:t>
      </w:r>
      <w:r w:rsidR="00D55E92">
        <w:t>erative</w:t>
      </w:r>
      <w:r w:rsidR="00D55E92" w:rsidRPr="00633C34">
        <w:t xml:space="preserve"> anti</w:t>
      </w:r>
      <w:r w:rsidR="00D55E92">
        <w:t>-</w:t>
      </w:r>
      <w:r w:rsidR="00D55E92" w:rsidRPr="00633C34">
        <w:t xml:space="preserve">emetic </w:t>
      </w:r>
      <w:r w:rsidR="00D55E92">
        <w:t xml:space="preserve">or </w:t>
      </w:r>
      <w:r w:rsidR="00AF56C9" w:rsidRPr="00633C34">
        <w:t xml:space="preserve">multimodal </w:t>
      </w:r>
      <w:r w:rsidR="00D55E92">
        <w:t xml:space="preserve">pain management </w:t>
      </w:r>
      <w:r w:rsidR="00AF56C9" w:rsidRPr="00633C34">
        <w:t>bundle</w:t>
      </w:r>
      <w:r w:rsidR="00D55E92">
        <w:t xml:space="preserve">) </w:t>
      </w:r>
      <w:r w:rsidR="00AF56C9" w:rsidRPr="00633C34">
        <w:t xml:space="preserve"> )</w:t>
      </w:r>
      <w:r w:rsidR="00F60FC8" w:rsidRPr="00633C34">
        <w:t xml:space="preserve">. </w:t>
      </w:r>
      <w:r w:rsidR="002262DC" w:rsidRPr="00633C34">
        <w:t>Measures do not need to come from one data registry (e.g.</w:t>
      </w:r>
      <w:r w:rsidR="00D91D7B" w:rsidRPr="00633C34">
        <w:t>,</w:t>
      </w:r>
      <w:r w:rsidR="002262DC" w:rsidRPr="00633C34">
        <w:t xml:space="preserve"> National Healthcare Safety Network)</w:t>
      </w:r>
      <w:r w:rsidR="00A83797" w:rsidRPr="00633C34">
        <w:t>.  I</w:t>
      </w:r>
      <w:r w:rsidR="002262DC" w:rsidRPr="00633C34">
        <w:t xml:space="preserve">t is more important that the criteria </w:t>
      </w:r>
      <w:r w:rsidR="00E21AD0" w:rsidRPr="00633C34">
        <w:t>are</w:t>
      </w:r>
      <w:r w:rsidR="002262DC" w:rsidRPr="00633C34">
        <w:t xml:space="preserve"> </w:t>
      </w:r>
      <w:r w:rsidR="00320F63" w:rsidRPr="00633C34">
        <w:t xml:space="preserve">defined, </w:t>
      </w:r>
      <w:r w:rsidR="002262DC" w:rsidRPr="00633C34">
        <w:t>consistent</w:t>
      </w:r>
      <w:r w:rsidR="008D4E36">
        <w:t>,</w:t>
      </w:r>
      <w:r w:rsidR="002262DC" w:rsidRPr="00633C34">
        <w:t xml:space="preserve"> and regularly collected by your hospital. </w:t>
      </w:r>
    </w:p>
    <w:p w14:paraId="30CBD5FE" w14:textId="6EAD2FD7" w:rsidR="00F47308" w:rsidRDefault="000D253B" w:rsidP="00BF53A7">
      <w:pPr>
        <w:pStyle w:val="BodyText1"/>
      </w:pPr>
      <w:r w:rsidRPr="00633C34">
        <w:t xml:space="preserve">You may want to record your process and outcome measure definitions on a separate sheet that you can share with your frontline workers if they ask. </w:t>
      </w:r>
      <w:r w:rsidR="00F47308" w:rsidRPr="00633C34">
        <w:t xml:space="preserve">You may want to focus on outcomes that need </w:t>
      </w:r>
      <w:r w:rsidR="00F60FC8" w:rsidRPr="00633C34">
        <w:t xml:space="preserve">the most </w:t>
      </w:r>
      <w:r w:rsidR="00F47308" w:rsidRPr="00633C34">
        <w:t xml:space="preserve">improvement or process measure components that have the lowest compliance according to your baseline data. </w:t>
      </w:r>
      <w:r w:rsidR="00E97625" w:rsidRPr="00633C34">
        <w:t xml:space="preserve">The </w:t>
      </w:r>
      <w:hyperlink r:id="rId8" w:history="1">
        <w:r w:rsidR="00E97625" w:rsidRPr="00B24E37">
          <w:rPr>
            <w:rStyle w:val="Hyperlink"/>
          </w:rPr>
          <w:t>Gap Analysis &amp; Goal Setting Form</w:t>
        </w:r>
      </w:hyperlink>
      <w:r w:rsidR="00E97625" w:rsidRPr="00633C34">
        <w:t xml:space="preserve"> can help you identify measures to improve. </w:t>
      </w:r>
      <w:r w:rsidR="00F47308" w:rsidRPr="00633C34">
        <w:t xml:space="preserve">Think about the best way to share data—for some hospitals it has been helpful </w:t>
      </w:r>
      <w:r w:rsidR="00CC061A" w:rsidRPr="00633C34">
        <w:t xml:space="preserve">for data presenters </w:t>
      </w:r>
      <w:r w:rsidR="00F47308" w:rsidRPr="00633C34">
        <w:t>to attend existing staff meetings, while others have posted</w:t>
      </w:r>
      <w:r w:rsidR="00CC061A" w:rsidRPr="00633C34">
        <w:t xml:space="preserve"> data </w:t>
      </w:r>
      <w:r w:rsidR="00F47308" w:rsidRPr="00633C34">
        <w:t xml:space="preserve">on </w:t>
      </w:r>
      <w:r w:rsidR="00F3138F" w:rsidRPr="00633C34">
        <w:t>huddle boards,</w:t>
      </w:r>
      <w:r w:rsidR="00F47308" w:rsidRPr="00633C34">
        <w:t xml:space="preserve"> or shared </w:t>
      </w:r>
      <w:r w:rsidR="00CC061A" w:rsidRPr="00633C34">
        <w:t xml:space="preserve">them </w:t>
      </w:r>
      <w:r w:rsidR="00F47308" w:rsidRPr="00633C34">
        <w:t>by email. Make sure to celebrate areas where you</w:t>
      </w:r>
      <w:r w:rsidR="00F47308" w:rsidRPr="00BF53A7">
        <w:t xml:space="preserve"> note high adherence or improvement!</w:t>
      </w:r>
    </w:p>
    <w:p w14:paraId="16DD4280" w14:textId="77777777" w:rsidR="0046472C" w:rsidRDefault="0046472C" w:rsidP="007D180B">
      <w:pPr>
        <w:pStyle w:val="Section1title"/>
      </w:pPr>
    </w:p>
    <w:p w14:paraId="414CD814" w14:textId="77777777" w:rsidR="0046472C" w:rsidRDefault="0046472C" w:rsidP="007D180B">
      <w:pPr>
        <w:pStyle w:val="Section1title"/>
      </w:pPr>
    </w:p>
    <w:p w14:paraId="3C0A5E38" w14:textId="77777777" w:rsidR="0046472C" w:rsidRDefault="0046472C" w:rsidP="007D180B">
      <w:pPr>
        <w:pStyle w:val="Section1title"/>
      </w:pPr>
    </w:p>
    <w:p w14:paraId="74CD53D8" w14:textId="77777777" w:rsidR="0046472C" w:rsidRDefault="0046472C" w:rsidP="007D180B">
      <w:pPr>
        <w:pStyle w:val="Section1title"/>
      </w:pPr>
    </w:p>
    <w:p w14:paraId="7029BC9C" w14:textId="1874F6D0" w:rsidR="006C42C6" w:rsidRPr="007D180B" w:rsidRDefault="006C42C6" w:rsidP="00FA0A8B">
      <w:pPr>
        <w:pStyle w:val="Section1title"/>
        <w:spacing w:after="120"/>
      </w:pPr>
      <w:r w:rsidRPr="007D180B">
        <w:lastRenderedPageBreak/>
        <w:t>Core Process Measures</w:t>
      </w:r>
    </w:p>
    <w:tbl>
      <w:tblPr>
        <w:tblStyle w:val="GridTable1Light"/>
        <w:tblW w:w="10073" w:type="dxa"/>
        <w:tblLook w:val="04A0" w:firstRow="1" w:lastRow="0" w:firstColumn="1" w:lastColumn="0" w:noHBand="0" w:noVBand="1"/>
        <w:tblCaption w:val="Engaging Frontline Staff with ISCR Process and Outcome Data"/>
      </w:tblPr>
      <w:tblGrid>
        <w:gridCol w:w="5415"/>
        <w:gridCol w:w="2180"/>
        <w:gridCol w:w="2478"/>
      </w:tblGrid>
      <w:tr w:rsidR="00242251" w:rsidRPr="00633C34" w14:paraId="02943319" w14:textId="77777777" w:rsidTr="5F26565D">
        <w:trPr>
          <w:cnfStyle w:val="100000000000" w:firstRow="1" w:lastRow="0" w:firstColumn="0" w:lastColumn="0" w:oddVBand="0" w:evenVBand="0" w:oddHBand="0" w:evenHBand="0" w:firstRowFirstColumn="0" w:firstRowLastColumn="0" w:lastRowFirstColumn="0" w:lastRowLastColumn="0"/>
          <w:cantSplit/>
          <w:trHeight w:val="870"/>
          <w:tblHeader/>
        </w:trPr>
        <w:tc>
          <w:tcPr>
            <w:cnfStyle w:val="001000000000" w:firstRow="0" w:lastRow="0" w:firstColumn="1" w:lastColumn="0" w:oddVBand="0" w:evenVBand="0" w:oddHBand="0" w:evenHBand="0" w:firstRowFirstColumn="0" w:firstRowLastColumn="0" w:lastRowFirstColumn="0" w:lastRowLastColumn="0"/>
            <w:tcW w:w="5415" w:type="dxa"/>
            <w:noWrap/>
            <w:hideMark/>
          </w:tcPr>
          <w:p w14:paraId="0C359C52" w14:textId="5A2704AA" w:rsidR="00F47308" w:rsidRPr="00633C34" w:rsidRDefault="006C42C6" w:rsidP="00F82864">
            <w:pPr>
              <w:pStyle w:val="Section2Title"/>
              <w:rPr>
                <w:b/>
              </w:rPr>
            </w:pPr>
            <w:r w:rsidRPr="00633C34">
              <w:rPr>
                <w:b/>
              </w:rPr>
              <w:t xml:space="preserve">Sample </w:t>
            </w:r>
            <w:r w:rsidR="007D180B" w:rsidRPr="00633C34">
              <w:rPr>
                <w:b/>
              </w:rPr>
              <w:t xml:space="preserve">Process </w:t>
            </w:r>
            <w:r w:rsidR="00F47308" w:rsidRPr="00633C34">
              <w:rPr>
                <w:b/>
              </w:rPr>
              <w:t>Measures</w:t>
            </w:r>
            <w:r w:rsidR="00A83797" w:rsidRPr="00633C34">
              <w:rPr>
                <w:b/>
              </w:rPr>
              <w:t xml:space="preserve"> </w:t>
            </w:r>
          </w:p>
        </w:tc>
        <w:tc>
          <w:tcPr>
            <w:tcW w:w="2180" w:type="dxa"/>
          </w:tcPr>
          <w:p w14:paraId="7FBA9BC6" w14:textId="2FE89EF0" w:rsidR="00F47308" w:rsidRPr="00633C34" w:rsidRDefault="006703C1" w:rsidP="00F82864">
            <w:pPr>
              <w:pStyle w:val="Section2Title"/>
              <w:cnfStyle w:val="100000000000" w:firstRow="1" w:lastRow="0" w:firstColumn="0" w:lastColumn="0" w:oddVBand="0" w:evenVBand="0" w:oddHBand="0" w:evenHBand="0" w:firstRowFirstColumn="0" w:firstRowLastColumn="0" w:lastRowFirstColumn="0" w:lastRowLastColumn="0"/>
              <w:rPr>
                <w:b/>
              </w:rPr>
            </w:pPr>
            <w:r>
              <w:rPr>
                <w:b/>
              </w:rPr>
              <w:t>Relevant Stakeholders</w:t>
            </w:r>
          </w:p>
        </w:tc>
        <w:tc>
          <w:tcPr>
            <w:tcW w:w="2478" w:type="dxa"/>
          </w:tcPr>
          <w:p w14:paraId="34F6FEA8" w14:textId="0864AF2E" w:rsidR="00F47308" w:rsidRPr="00633C34" w:rsidRDefault="00F47308" w:rsidP="00F82864">
            <w:pPr>
              <w:pStyle w:val="Section2Title"/>
              <w:cnfStyle w:val="100000000000" w:firstRow="1" w:lastRow="0" w:firstColumn="0" w:lastColumn="0" w:oddVBand="0" w:evenVBand="0" w:oddHBand="0" w:evenHBand="0" w:firstRowFirstColumn="0" w:firstRowLastColumn="0" w:lastRowFirstColumn="0" w:lastRowLastColumn="0"/>
              <w:rPr>
                <w:b/>
              </w:rPr>
            </w:pPr>
            <w:r w:rsidRPr="00633C34">
              <w:rPr>
                <w:b/>
              </w:rPr>
              <w:t xml:space="preserve">Approach to </w:t>
            </w:r>
            <w:r w:rsidR="00387EC7">
              <w:rPr>
                <w:b/>
              </w:rPr>
              <w:t>D</w:t>
            </w:r>
            <w:r w:rsidRPr="00633C34">
              <w:rPr>
                <w:b/>
              </w:rPr>
              <w:t xml:space="preserve">ata </w:t>
            </w:r>
            <w:r w:rsidR="00387EC7">
              <w:rPr>
                <w:b/>
              </w:rPr>
              <w:t>S</w:t>
            </w:r>
            <w:r w:rsidRPr="00633C34">
              <w:rPr>
                <w:b/>
              </w:rPr>
              <w:t>haring</w:t>
            </w:r>
          </w:p>
        </w:tc>
      </w:tr>
      <w:tr w:rsidR="00242251" w:rsidRPr="00FA0A8B" w14:paraId="1159401E" w14:textId="77777777" w:rsidTr="5F26565D">
        <w:trPr>
          <w:cantSplit/>
          <w:trHeight w:val="1070"/>
        </w:trPr>
        <w:tc>
          <w:tcPr>
            <w:cnfStyle w:val="001000000000" w:firstRow="0" w:lastRow="0" w:firstColumn="1" w:lastColumn="0" w:oddVBand="0" w:evenVBand="0" w:oddHBand="0" w:evenHBand="0" w:firstRowFirstColumn="0" w:firstRowLastColumn="0" w:lastRowFirstColumn="0" w:lastRowLastColumn="0"/>
            <w:tcW w:w="5415" w:type="dxa"/>
            <w:noWrap/>
          </w:tcPr>
          <w:p w14:paraId="6F18BF3E" w14:textId="6F0A965D" w:rsidR="00242251" w:rsidRPr="00FA0A8B" w:rsidRDefault="007D180B" w:rsidP="0046472C">
            <w:pPr>
              <w:pStyle w:val="TableParagraph"/>
              <w:rPr>
                <w:bCs w:val="0"/>
                <w:i/>
                <w:sz w:val="24"/>
                <w:szCs w:val="24"/>
              </w:rPr>
            </w:pPr>
            <w:r w:rsidRPr="00FA0A8B">
              <w:rPr>
                <w:i/>
                <w:sz w:val="24"/>
                <w:szCs w:val="24"/>
              </w:rPr>
              <w:t xml:space="preserve">Example: Patient </w:t>
            </w:r>
            <w:r w:rsidR="009030AA" w:rsidRPr="00FA0A8B">
              <w:rPr>
                <w:i/>
                <w:sz w:val="24"/>
                <w:szCs w:val="24"/>
              </w:rPr>
              <w:t>e</w:t>
            </w:r>
            <w:r w:rsidRPr="00FA0A8B">
              <w:rPr>
                <w:i/>
                <w:sz w:val="24"/>
                <w:szCs w:val="24"/>
              </w:rPr>
              <w:t>ducation provided to patient/caregiver</w:t>
            </w:r>
          </w:p>
        </w:tc>
        <w:tc>
          <w:tcPr>
            <w:tcW w:w="2180" w:type="dxa"/>
          </w:tcPr>
          <w:p w14:paraId="236DA81C" w14:textId="77777777" w:rsidR="007D180B" w:rsidRPr="00FA0A8B" w:rsidRDefault="007D180B"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FA0A8B">
              <w:rPr>
                <w:i/>
                <w:sz w:val="24"/>
                <w:szCs w:val="24"/>
              </w:rPr>
              <w:t>Ex: Surgeons, inpatient nurses, clinic nurses</w:t>
            </w:r>
          </w:p>
        </w:tc>
        <w:tc>
          <w:tcPr>
            <w:tcW w:w="2478" w:type="dxa"/>
          </w:tcPr>
          <w:p w14:paraId="40D6F3F1" w14:textId="0365115E" w:rsidR="007D180B" w:rsidRPr="00FA0A8B" w:rsidRDefault="007D180B"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FA0A8B">
              <w:rPr>
                <w:i/>
                <w:sz w:val="24"/>
                <w:szCs w:val="24"/>
              </w:rPr>
              <w:t xml:space="preserve">Ex: Friday morning huddle in the </w:t>
            </w:r>
            <w:r w:rsidR="008D4E36" w:rsidRPr="00FA0A8B">
              <w:rPr>
                <w:i/>
                <w:sz w:val="24"/>
                <w:szCs w:val="24"/>
              </w:rPr>
              <w:t>operating room</w:t>
            </w:r>
            <w:r w:rsidR="00C05378">
              <w:rPr>
                <w:i/>
                <w:sz w:val="24"/>
                <w:szCs w:val="24"/>
              </w:rPr>
              <w:t xml:space="preserve"> (OR)</w:t>
            </w:r>
          </w:p>
        </w:tc>
      </w:tr>
      <w:tr w:rsidR="00242251" w:rsidRPr="00FA0A8B" w14:paraId="293DD3D4" w14:textId="77777777" w:rsidTr="5F26565D">
        <w:trPr>
          <w:cantSplit/>
          <w:trHeight w:val="322"/>
        </w:trPr>
        <w:tc>
          <w:tcPr>
            <w:cnfStyle w:val="001000000000" w:firstRow="0" w:lastRow="0" w:firstColumn="1" w:lastColumn="0" w:oddVBand="0" w:evenVBand="0" w:oddHBand="0" w:evenHBand="0" w:firstRowFirstColumn="0" w:firstRowLastColumn="0" w:lastRowFirstColumn="0" w:lastRowLastColumn="0"/>
            <w:tcW w:w="5415" w:type="dxa"/>
            <w:noWrap/>
          </w:tcPr>
          <w:p w14:paraId="27FD7107" w14:textId="4EF607C9" w:rsidR="00242251" w:rsidRPr="00FA0A8B" w:rsidRDefault="007D180B" w:rsidP="007D180B">
            <w:pPr>
              <w:pStyle w:val="TableParagraph"/>
              <w:rPr>
                <w:bCs w:val="0"/>
                <w:sz w:val="24"/>
                <w:szCs w:val="24"/>
              </w:rPr>
            </w:pPr>
            <w:r w:rsidRPr="00FA0A8B">
              <w:rPr>
                <w:sz w:val="24"/>
                <w:szCs w:val="24"/>
              </w:rPr>
              <w:t xml:space="preserve">Patient </w:t>
            </w:r>
            <w:r w:rsidR="00CC6762" w:rsidRPr="00FA0A8B">
              <w:rPr>
                <w:sz w:val="24"/>
                <w:szCs w:val="24"/>
              </w:rPr>
              <w:t>education</w:t>
            </w:r>
            <w:r w:rsidRPr="00FA0A8B">
              <w:rPr>
                <w:sz w:val="24"/>
                <w:szCs w:val="24"/>
              </w:rPr>
              <w:t xml:space="preserve"> provided to patient/caregiver</w:t>
            </w:r>
          </w:p>
        </w:tc>
        <w:tc>
          <w:tcPr>
            <w:tcW w:w="2180" w:type="dxa"/>
          </w:tcPr>
          <w:p w14:paraId="39ACF31E" w14:textId="73170F22" w:rsidR="007D180B" w:rsidRPr="00CF1750" w:rsidRDefault="00B36099" w:rsidP="5F26565D">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5F26565D">
              <w:rPr>
                <w:i/>
                <w:iCs/>
              </w:rPr>
              <w:t>-</w:t>
            </w:r>
            <w:r w:rsidR="00CF1750">
              <w:t xml:space="preserve"> </w:t>
            </w:r>
            <w:r w:rsidR="55FE719E" w:rsidRPr="5F26565D">
              <w:rPr>
                <w:i/>
                <w:iCs/>
                <w:sz w:val="24"/>
                <w:szCs w:val="24"/>
              </w:rPr>
              <w:t xml:space="preserve"> Enter here</w:t>
            </w:r>
          </w:p>
          <w:p w14:paraId="40E5E0E0" w14:textId="3438E0A7" w:rsidR="007D180B" w:rsidRPr="00CF1750" w:rsidRDefault="007D180B" w:rsidP="5F26565D">
            <w:pPr>
              <w:pStyle w:val="TableParagraph"/>
              <w:cnfStyle w:val="000000000000" w:firstRow="0" w:lastRow="0" w:firstColumn="0" w:lastColumn="0" w:oddVBand="0" w:evenVBand="0" w:oddHBand="0" w:evenHBand="0" w:firstRowFirstColumn="0" w:firstRowLastColumn="0" w:lastRowFirstColumn="0" w:lastRowLastColumn="0"/>
              <w:rPr>
                <w:i/>
                <w:iCs/>
              </w:rPr>
            </w:pPr>
          </w:p>
        </w:tc>
        <w:tc>
          <w:tcPr>
            <w:tcW w:w="2478" w:type="dxa"/>
          </w:tcPr>
          <w:p w14:paraId="77311AD8" w14:textId="56AC8290" w:rsidR="007D180B" w:rsidRPr="00CF1750" w:rsidRDefault="00B36099" w:rsidP="5F26565D">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5F26565D">
              <w:rPr>
                <w:i/>
                <w:iCs/>
              </w:rPr>
              <w:t>-</w:t>
            </w:r>
            <w:r w:rsidR="00CF1750">
              <w:t xml:space="preserve"> </w:t>
            </w:r>
            <w:r w:rsidR="1C5DE34C" w:rsidRPr="5F26565D">
              <w:rPr>
                <w:i/>
                <w:iCs/>
                <w:sz w:val="24"/>
                <w:szCs w:val="24"/>
              </w:rPr>
              <w:t xml:space="preserve"> Enter here</w:t>
            </w:r>
          </w:p>
          <w:p w14:paraId="4DF0C837" w14:textId="3F506638" w:rsidR="007D180B" w:rsidRPr="00CF1750" w:rsidRDefault="007D180B" w:rsidP="5F26565D">
            <w:pPr>
              <w:pStyle w:val="TableParagraph"/>
              <w:cnfStyle w:val="000000000000" w:firstRow="0" w:lastRow="0" w:firstColumn="0" w:lastColumn="0" w:oddVBand="0" w:evenVBand="0" w:oddHBand="0" w:evenHBand="0" w:firstRowFirstColumn="0" w:firstRowLastColumn="0" w:lastRowFirstColumn="0" w:lastRowLastColumn="0"/>
              <w:rPr>
                <w:i/>
                <w:iCs/>
              </w:rPr>
            </w:pPr>
          </w:p>
        </w:tc>
      </w:tr>
      <w:tr w:rsidR="00242251" w:rsidRPr="00FA0A8B" w14:paraId="20EC06AB" w14:textId="77777777" w:rsidTr="5F26565D">
        <w:trPr>
          <w:cantSplit/>
          <w:trHeight w:val="322"/>
        </w:trPr>
        <w:tc>
          <w:tcPr>
            <w:cnfStyle w:val="001000000000" w:firstRow="0" w:lastRow="0" w:firstColumn="1" w:lastColumn="0" w:oddVBand="0" w:evenVBand="0" w:oddHBand="0" w:evenHBand="0" w:firstRowFirstColumn="0" w:firstRowLastColumn="0" w:lastRowFirstColumn="0" w:lastRowLastColumn="0"/>
            <w:tcW w:w="5415" w:type="dxa"/>
            <w:noWrap/>
          </w:tcPr>
          <w:p w14:paraId="43F42A6E" w14:textId="4C2BEA0B" w:rsidR="00242251" w:rsidRPr="00FA0A8B" w:rsidRDefault="007D180B" w:rsidP="007D180B">
            <w:pPr>
              <w:pStyle w:val="TableParagraph"/>
              <w:rPr>
                <w:bCs w:val="0"/>
                <w:sz w:val="24"/>
                <w:szCs w:val="24"/>
                <w:vertAlign w:val="superscript"/>
              </w:rPr>
            </w:pPr>
            <w:r w:rsidRPr="00FA0A8B">
              <w:rPr>
                <w:sz w:val="24"/>
                <w:szCs w:val="24"/>
              </w:rPr>
              <w:t xml:space="preserve">Evidence of </w:t>
            </w:r>
            <w:r w:rsidR="00CC6762" w:rsidRPr="00FA0A8B">
              <w:rPr>
                <w:sz w:val="24"/>
                <w:szCs w:val="24"/>
              </w:rPr>
              <w:t xml:space="preserve">advanced care planning </w:t>
            </w:r>
            <w:r w:rsidRPr="00FA0A8B">
              <w:rPr>
                <w:sz w:val="24"/>
                <w:szCs w:val="24"/>
              </w:rPr>
              <w:t>(</w:t>
            </w:r>
            <w:r w:rsidR="002257E7" w:rsidRPr="00FA0A8B">
              <w:rPr>
                <w:sz w:val="24"/>
                <w:szCs w:val="24"/>
              </w:rPr>
              <w:t xml:space="preserve">for </w:t>
            </w:r>
            <w:r w:rsidRPr="00FA0A8B">
              <w:rPr>
                <w:sz w:val="24"/>
                <w:szCs w:val="24"/>
              </w:rPr>
              <w:t>patients age 65 years and older)</w:t>
            </w:r>
            <w:r w:rsidR="006703C1" w:rsidRPr="00FA0A8B">
              <w:rPr>
                <w:sz w:val="28"/>
                <w:szCs w:val="24"/>
                <w:vertAlign w:val="superscript"/>
              </w:rPr>
              <w:t>a</w:t>
            </w:r>
          </w:p>
        </w:tc>
        <w:tc>
          <w:tcPr>
            <w:tcW w:w="2180" w:type="dxa"/>
          </w:tcPr>
          <w:p w14:paraId="090CA391" w14:textId="2BD0C461" w:rsidR="007D180B" w:rsidRPr="00FA0A8B"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1B60BAC0" w:rsidRPr="00C849CD">
              <w:rPr>
                <w:i/>
                <w:iCs/>
                <w:sz w:val="24"/>
                <w:szCs w:val="24"/>
              </w:rPr>
              <w:t>Enter here</w:t>
            </w:r>
          </w:p>
        </w:tc>
        <w:tc>
          <w:tcPr>
            <w:tcW w:w="2478" w:type="dxa"/>
          </w:tcPr>
          <w:p w14:paraId="44EBB0D7" w14:textId="16D8A2AF" w:rsidR="007D180B" w:rsidRPr="00FA0A8B"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2A51B1E9" w:rsidRPr="217FF934">
              <w:rPr>
                <w:i/>
                <w:iCs/>
                <w:sz w:val="24"/>
                <w:szCs w:val="24"/>
              </w:rPr>
              <w:t xml:space="preserve"> Enter here</w:t>
            </w:r>
          </w:p>
        </w:tc>
      </w:tr>
      <w:tr w:rsidR="00242251" w:rsidRPr="00F96809" w14:paraId="7E9F4383" w14:textId="77777777" w:rsidTr="5F26565D">
        <w:trPr>
          <w:cantSplit/>
          <w:trHeight w:val="322"/>
        </w:trPr>
        <w:tc>
          <w:tcPr>
            <w:cnfStyle w:val="001000000000" w:firstRow="0" w:lastRow="0" w:firstColumn="1" w:lastColumn="0" w:oddVBand="0" w:evenVBand="0" w:oddHBand="0" w:evenHBand="0" w:firstRowFirstColumn="0" w:firstRowLastColumn="0" w:lastRowFirstColumn="0" w:lastRowLastColumn="0"/>
            <w:tcW w:w="5415" w:type="dxa"/>
            <w:noWrap/>
          </w:tcPr>
          <w:p w14:paraId="19C88A71" w14:textId="7259EFEB" w:rsidR="007D180B" w:rsidRPr="00FA0A8B" w:rsidRDefault="00460E2B" w:rsidP="007D180B">
            <w:pPr>
              <w:pStyle w:val="TableParagraph"/>
              <w:rPr>
                <w:b w:val="0"/>
                <w:sz w:val="24"/>
                <w:szCs w:val="24"/>
              </w:rPr>
            </w:pPr>
            <w:r w:rsidRPr="00FA0A8B">
              <w:rPr>
                <w:sz w:val="24"/>
                <w:szCs w:val="24"/>
              </w:rPr>
              <w:t xml:space="preserve">Preadmission </w:t>
            </w:r>
            <w:r w:rsidR="00CC6762" w:rsidRPr="00FA0A8B">
              <w:rPr>
                <w:sz w:val="24"/>
                <w:szCs w:val="24"/>
              </w:rPr>
              <w:t>c</w:t>
            </w:r>
            <w:r w:rsidRPr="00FA0A8B">
              <w:rPr>
                <w:sz w:val="24"/>
                <w:szCs w:val="24"/>
              </w:rPr>
              <w:t>ounseling</w:t>
            </w:r>
            <w:r w:rsidR="007D180B" w:rsidRPr="00FA0A8B">
              <w:rPr>
                <w:sz w:val="24"/>
                <w:szCs w:val="24"/>
              </w:rPr>
              <w:t xml:space="preserve"> (e.g</w:t>
            </w:r>
            <w:r w:rsidR="006F1152" w:rsidRPr="00FA0A8B">
              <w:rPr>
                <w:sz w:val="24"/>
                <w:szCs w:val="24"/>
              </w:rPr>
              <w:t>., p</w:t>
            </w:r>
            <w:r w:rsidR="00D83A24" w:rsidRPr="00FA0A8B">
              <w:rPr>
                <w:sz w:val="24"/>
                <w:szCs w:val="24"/>
              </w:rPr>
              <w:t>reop</w:t>
            </w:r>
            <w:r w:rsidR="008D4E36" w:rsidRPr="00FA0A8B">
              <w:rPr>
                <w:sz w:val="24"/>
                <w:szCs w:val="24"/>
              </w:rPr>
              <w:t>erative [preop]</w:t>
            </w:r>
            <w:r w:rsidR="00D83A24" w:rsidRPr="00FA0A8B">
              <w:rPr>
                <w:sz w:val="24"/>
                <w:szCs w:val="24"/>
              </w:rPr>
              <w:t xml:space="preserve"> </w:t>
            </w:r>
            <w:r w:rsidR="00CC6762" w:rsidRPr="00FA0A8B">
              <w:rPr>
                <w:sz w:val="24"/>
                <w:szCs w:val="24"/>
              </w:rPr>
              <w:t>o</w:t>
            </w:r>
            <w:r w:rsidR="00D83A24" w:rsidRPr="00FA0A8B">
              <w:rPr>
                <w:sz w:val="24"/>
                <w:szCs w:val="24"/>
              </w:rPr>
              <w:t xml:space="preserve">pioid </w:t>
            </w:r>
            <w:r w:rsidR="00CC6762" w:rsidRPr="00FA0A8B">
              <w:rPr>
                <w:sz w:val="24"/>
                <w:szCs w:val="24"/>
              </w:rPr>
              <w:t>u</w:t>
            </w:r>
            <w:r w:rsidR="00D83A24" w:rsidRPr="00FA0A8B">
              <w:rPr>
                <w:sz w:val="24"/>
                <w:szCs w:val="24"/>
              </w:rPr>
              <w:t>se</w:t>
            </w:r>
            <w:r w:rsidR="007D180B" w:rsidRPr="00FA0A8B">
              <w:rPr>
                <w:sz w:val="24"/>
                <w:szCs w:val="24"/>
              </w:rPr>
              <w:t>)</w:t>
            </w:r>
            <w:r w:rsidR="006703C1" w:rsidRPr="00FA0A8B">
              <w:rPr>
                <w:sz w:val="28"/>
                <w:szCs w:val="24"/>
                <w:vertAlign w:val="superscript"/>
              </w:rPr>
              <w:t>a</w:t>
            </w:r>
          </w:p>
        </w:tc>
        <w:tc>
          <w:tcPr>
            <w:tcW w:w="2180" w:type="dxa"/>
          </w:tcPr>
          <w:p w14:paraId="3D73CCFE" w14:textId="786F3082" w:rsidR="007D180B" w:rsidRPr="00FA0A8B"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6114C74B" w:rsidRPr="217FF934">
              <w:rPr>
                <w:i/>
                <w:iCs/>
                <w:sz w:val="24"/>
                <w:szCs w:val="24"/>
              </w:rPr>
              <w:t xml:space="preserve"> Enter here</w:t>
            </w:r>
          </w:p>
        </w:tc>
        <w:tc>
          <w:tcPr>
            <w:tcW w:w="2478" w:type="dxa"/>
          </w:tcPr>
          <w:p w14:paraId="1E8C121A" w14:textId="0B1040AE" w:rsidR="007D180B" w:rsidRPr="00FA0A8B"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702621F8" w:rsidRPr="217FF934">
              <w:rPr>
                <w:i/>
                <w:iCs/>
                <w:sz w:val="24"/>
                <w:szCs w:val="24"/>
              </w:rPr>
              <w:t xml:space="preserve"> Enter here</w:t>
            </w:r>
          </w:p>
        </w:tc>
      </w:tr>
      <w:tr w:rsidR="00242251" w:rsidRPr="00F96809" w14:paraId="2C6124C6" w14:textId="77777777" w:rsidTr="5F26565D">
        <w:trPr>
          <w:cantSplit/>
          <w:trHeight w:val="322"/>
        </w:trPr>
        <w:tc>
          <w:tcPr>
            <w:cnfStyle w:val="001000000000" w:firstRow="0" w:lastRow="0" w:firstColumn="1" w:lastColumn="0" w:oddVBand="0" w:evenVBand="0" w:oddHBand="0" w:evenHBand="0" w:firstRowFirstColumn="0" w:firstRowLastColumn="0" w:lastRowFirstColumn="0" w:lastRowLastColumn="0"/>
            <w:tcW w:w="5415" w:type="dxa"/>
            <w:noWrap/>
          </w:tcPr>
          <w:p w14:paraId="3EEDF126" w14:textId="1CC19C21" w:rsidR="007D180B" w:rsidRPr="00CF1750" w:rsidRDefault="007D180B" w:rsidP="007D180B">
            <w:pPr>
              <w:pStyle w:val="TableParagraph"/>
              <w:rPr>
                <w:b w:val="0"/>
                <w:sz w:val="24"/>
                <w:szCs w:val="24"/>
              </w:rPr>
            </w:pPr>
            <w:r w:rsidRPr="00CF1750">
              <w:rPr>
                <w:sz w:val="24"/>
                <w:szCs w:val="24"/>
              </w:rPr>
              <w:t>Allow clear liquids preoperatively</w:t>
            </w:r>
            <w:r w:rsidR="00387EC7" w:rsidRPr="00CF1750">
              <w:rPr>
                <w:sz w:val="24"/>
                <w:szCs w:val="24"/>
              </w:rPr>
              <w:t xml:space="preserve"> </w:t>
            </w:r>
          </w:p>
        </w:tc>
        <w:tc>
          <w:tcPr>
            <w:tcW w:w="2180" w:type="dxa"/>
          </w:tcPr>
          <w:p w14:paraId="494922AF" w14:textId="5FC7270D" w:rsidR="007D180B" w:rsidRPr="00CF1750"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34576878" w:rsidRPr="217FF934">
              <w:rPr>
                <w:i/>
                <w:iCs/>
                <w:sz w:val="24"/>
                <w:szCs w:val="24"/>
              </w:rPr>
              <w:t xml:space="preserve"> Enter here</w:t>
            </w:r>
          </w:p>
        </w:tc>
        <w:tc>
          <w:tcPr>
            <w:tcW w:w="2478" w:type="dxa"/>
          </w:tcPr>
          <w:p w14:paraId="15C47249" w14:textId="286BFF72" w:rsidR="007D180B" w:rsidRPr="00CF1750"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204FF253" w:rsidRPr="217FF934">
              <w:rPr>
                <w:i/>
                <w:iCs/>
                <w:sz w:val="24"/>
                <w:szCs w:val="24"/>
              </w:rPr>
              <w:t xml:space="preserve"> Enter here</w:t>
            </w:r>
          </w:p>
        </w:tc>
      </w:tr>
      <w:tr w:rsidR="00242251" w:rsidRPr="00F96809" w14:paraId="59713660" w14:textId="77777777" w:rsidTr="5F26565D">
        <w:trPr>
          <w:cantSplit/>
          <w:trHeight w:val="322"/>
        </w:trPr>
        <w:tc>
          <w:tcPr>
            <w:cnfStyle w:val="001000000000" w:firstRow="0" w:lastRow="0" w:firstColumn="1" w:lastColumn="0" w:oddVBand="0" w:evenVBand="0" w:oddHBand="0" w:evenHBand="0" w:firstRowFirstColumn="0" w:firstRowLastColumn="0" w:lastRowFirstColumn="0" w:lastRowLastColumn="0"/>
            <w:tcW w:w="5415" w:type="dxa"/>
            <w:noWrap/>
          </w:tcPr>
          <w:p w14:paraId="753EA1B5" w14:textId="77777777" w:rsidR="007D180B" w:rsidRPr="00CF1750" w:rsidRDefault="007D180B" w:rsidP="007D180B">
            <w:pPr>
              <w:pStyle w:val="TableParagraph"/>
              <w:rPr>
                <w:b w:val="0"/>
                <w:sz w:val="24"/>
                <w:szCs w:val="24"/>
              </w:rPr>
            </w:pPr>
            <w:r w:rsidRPr="00CF1750">
              <w:rPr>
                <w:sz w:val="24"/>
                <w:szCs w:val="24"/>
              </w:rPr>
              <w:t>Normothermia</w:t>
            </w:r>
          </w:p>
        </w:tc>
        <w:tc>
          <w:tcPr>
            <w:tcW w:w="2180" w:type="dxa"/>
          </w:tcPr>
          <w:p w14:paraId="7ECEA50C" w14:textId="241A52F9" w:rsidR="007D180B" w:rsidRPr="00CF1750"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6A15EC8F" w:rsidRPr="217FF934">
              <w:rPr>
                <w:i/>
                <w:iCs/>
                <w:sz w:val="24"/>
                <w:szCs w:val="24"/>
              </w:rPr>
              <w:t xml:space="preserve"> Enter here</w:t>
            </w:r>
          </w:p>
        </w:tc>
        <w:tc>
          <w:tcPr>
            <w:tcW w:w="2478" w:type="dxa"/>
          </w:tcPr>
          <w:p w14:paraId="589EA6C8" w14:textId="703FBBB5" w:rsidR="007D180B" w:rsidRPr="00CF1750"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265E1EAA" w:rsidRPr="217FF934">
              <w:rPr>
                <w:i/>
                <w:iCs/>
                <w:sz w:val="24"/>
                <w:szCs w:val="24"/>
              </w:rPr>
              <w:t xml:space="preserve"> Enter here</w:t>
            </w:r>
          </w:p>
        </w:tc>
      </w:tr>
      <w:tr w:rsidR="00242251" w:rsidRPr="00F96809" w14:paraId="70989720" w14:textId="77777777" w:rsidTr="5F26565D">
        <w:trPr>
          <w:cantSplit/>
          <w:trHeight w:val="322"/>
        </w:trPr>
        <w:tc>
          <w:tcPr>
            <w:cnfStyle w:val="001000000000" w:firstRow="0" w:lastRow="0" w:firstColumn="1" w:lastColumn="0" w:oddVBand="0" w:evenVBand="0" w:oddHBand="0" w:evenHBand="0" w:firstRowFirstColumn="0" w:firstRowLastColumn="0" w:lastRowFirstColumn="0" w:lastRowLastColumn="0"/>
            <w:tcW w:w="5415" w:type="dxa"/>
            <w:noWrap/>
          </w:tcPr>
          <w:p w14:paraId="673FD40B" w14:textId="77777777" w:rsidR="007D180B" w:rsidRPr="00CF1750" w:rsidRDefault="007D180B" w:rsidP="007D180B">
            <w:pPr>
              <w:pStyle w:val="TableParagraph"/>
              <w:rPr>
                <w:b w:val="0"/>
                <w:sz w:val="24"/>
                <w:szCs w:val="24"/>
              </w:rPr>
            </w:pPr>
            <w:r w:rsidRPr="00CF1750">
              <w:rPr>
                <w:sz w:val="24"/>
                <w:szCs w:val="24"/>
              </w:rPr>
              <w:t xml:space="preserve">Multimodal pain management </w:t>
            </w:r>
          </w:p>
        </w:tc>
        <w:tc>
          <w:tcPr>
            <w:tcW w:w="2180" w:type="dxa"/>
          </w:tcPr>
          <w:p w14:paraId="16B69BAA" w14:textId="17548FA4" w:rsidR="007D180B" w:rsidRPr="00CF1750"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7F75B884" w:rsidRPr="217FF934">
              <w:rPr>
                <w:i/>
                <w:iCs/>
                <w:sz w:val="24"/>
                <w:szCs w:val="24"/>
              </w:rPr>
              <w:t xml:space="preserve"> Enter here</w:t>
            </w:r>
          </w:p>
        </w:tc>
        <w:tc>
          <w:tcPr>
            <w:tcW w:w="2478" w:type="dxa"/>
          </w:tcPr>
          <w:p w14:paraId="767E9149" w14:textId="52B53383" w:rsidR="007D180B" w:rsidRPr="00CF1750"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3D6B92F5" w:rsidRPr="217FF934">
              <w:rPr>
                <w:i/>
                <w:iCs/>
                <w:sz w:val="24"/>
                <w:szCs w:val="24"/>
              </w:rPr>
              <w:t xml:space="preserve"> Enter here</w:t>
            </w:r>
          </w:p>
        </w:tc>
      </w:tr>
      <w:tr w:rsidR="00242251" w:rsidRPr="00F96809" w14:paraId="0A4B335C" w14:textId="77777777" w:rsidTr="5F26565D">
        <w:trPr>
          <w:cantSplit/>
          <w:trHeight w:val="322"/>
        </w:trPr>
        <w:tc>
          <w:tcPr>
            <w:cnfStyle w:val="001000000000" w:firstRow="0" w:lastRow="0" w:firstColumn="1" w:lastColumn="0" w:oddVBand="0" w:evenVBand="0" w:oddHBand="0" w:evenHBand="0" w:firstRowFirstColumn="0" w:firstRowLastColumn="0" w:lastRowFirstColumn="0" w:lastRowLastColumn="0"/>
            <w:tcW w:w="5415" w:type="dxa"/>
            <w:noWrap/>
          </w:tcPr>
          <w:p w14:paraId="28EA9F56" w14:textId="584D734A" w:rsidR="007D180B" w:rsidRPr="00CF1750" w:rsidRDefault="00051696" w:rsidP="007D180B">
            <w:pPr>
              <w:pStyle w:val="TableParagraph"/>
              <w:rPr>
                <w:b w:val="0"/>
                <w:sz w:val="24"/>
                <w:szCs w:val="24"/>
              </w:rPr>
            </w:pPr>
            <w:r w:rsidRPr="00CF1750">
              <w:rPr>
                <w:sz w:val="24"/>
                <w:szCs w:val="24"/>
              </w:rPr>
              <w:t>R</w:t>
            </w:r>
            <w:r w:rsidR="007D180B" w:rsidRPr="00CF1750">
              <w:rPr>
                <w:sz w:val="24"/>
                <w:szCs w:val="24"/>
              </w:rPr>
              <w:t>egional anesthesia</w:t>
            </w:r>
          </w:p>
        </w:tc>
        <w:tc>
          <w:tcPr>
            <w:tcW w:w="2180" w:type="dxa"/>
          </w:tcPr>
          <w:p w14:paraId="4BEF71B2" w14:textId="26764961" w:rsidR="007D180B" w:rsidRPr="00CF1750"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2CBF06BE" w:rsidRPr="217FF934">
              <w:rPr>
                <w:i/>
                <w:iCs/>
                <w:sz w:val="24"/>
                <w:szCs w:val="24"/>
              </w:rPr>
              <w:t xml:space="preserve"> Enter here</w:t>
            </w:r>
          </w:p>
        </w:tc>
        <w:tc>
          <w:tcPr>
            <w:tcW w:w="2478" w:type="dxa"/>
          </w:tcPr>
          <w:p w14:paraId="3BE99022" w14:textId="6BA414D4" w:rsidR="007D180B" w:rsidRPr="00CF1750"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2FCB496F" w:rsidRPr="217FF934">
              <w:rPr>
                <w:i/>
                <w:iCs/>
                <w:sz w:val="24"/>
                <w:szCs w:val="24"/>
              </w:rPr>
              <w:t xml:space="preserve"> Enter here</w:t>
            </w:r>
          </w:p>
        </w:tc>
      </w:tr>
      <w:tr w:rsidR="00242251" w:rsidRPr="00F96809" w14:paraId="25A093A3" w14:textId="77777777" w:rsidTr="5F26565D">
        <w:trPr>
          <w:cantSplit/>
          <w:trHeight w:val="322"/>
        </w:trPr>
        <w:tc>
          <w:tcPr>
            <w:cnfStyle w:val="001000000000" w:firstRow="0" w:lastRow="0" w:firstColumn="1" w:lastColumn="0" w:oddVBand="0" w:evenVBand="0" w:oddHBand="0" w:evenHBand="0" w:firstRowFirstColumn="0" w:firstRowLastColumn="0" w:lastRowFirstColumn="0" w:lastRowLastColumn="0"/>
            <w:tcW w:w="5415" w:type="dxa"/>
            <w:noWrap/>
          </w:tcPr>
          <w:p w14:paraId="01FDFD15" w14:textId="77777777" w:rsidR="007D180B" w:rsidRPr="00CF1750" w:rsidRDefault="007D180B" w:rsidP="007D180B">
            <w:pPr>
              <w:pStyle w:val="TableParagraph"/>
              <w:rPr>
                <w:b w:val="0"/>
                <w:sz w:val="24"/>
                <w:szCs w:val="24"/>
              </w:rPr>
            </w:pPr>
            <w:r w:rsidRPr="00CF1750">
              <w:rPr>
                <w:sz w:val="24"/>
                <w:szCs w:val="24"/>
              </w:rPr>
              <w:t>Preop or intraoperative (</w:t>
            </w:r>
            <w:proofErr w:type="spellStart"/>
            <w:r w:rsidRPr="00CF1750">
              <w:rPr>
                <w:sz w:val="24"/>
                <w:szCs w:val="24"/>
              </w:rPr>
              <w:t>intraop</w:t>
            </w:r>
            <w:proofErr w:type="spellEnd"/>
            <w:r w:rsidRPr="00CF1750">
              <w:rPr>
                <w:sz w:val="24"/>
                <w:szCs w:val="24"/>
              </w:rPr>
              <w:t>) anti-emetic prophylaxis</w:t>
            </w:r>
          </w:p>
        </w:tc>
        <w:tc>
          <w:tcPr>
            <w:tcW w:w="2180" w:type="dxa"/>
          </w:tcPr>
          <w:p w14:paraId="07E2CC00" w14:textId="4BAD8D1B" w:rsidR="007D180B" w:rsidRPr="00CF1750"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4DBC0F48" w:rsidRPr="217FF934">
              <w:rPr>
                <w:i/>
                <w:iCs/>
                <w:sz w:val="24"/>
                <w:szCs w:val="24"/>
              </w:rPr>
              <w:t xml:space="preserve"> Enter here</w:t>
            </w:r>
          </w:p>
        </w:tc>
        <w:tc>
          <w:tcPr>
            <w:tcW w:w="2478" w:type="dxa"/>
          </w:tcPr>
          <w:p w14:paraId="22B8C66A" w14:textId="54E4AC6A" w:rsidR="007D180B" w:rsidRPr="00CF1750"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3CA3A8B9" w:rsidRPr="217FF934">
              <w:rPr>
                <w:i/>
                <w:iCs/>
                <w:sz w:val="24"/>
                <w:szCs w:val="24"/>
              </w:rPr>
              <w:t xml:space="preserve"> Enter here</w:t>
            </w:r>
          </w:p>
        </w:tc>
      </w:tr>
      <w:tr w:rsidR="00242251" w:rsidRPr="00EE7192" w14:paraId="63DFB69E" w14:textId="77777777" w:rsidTr="5F26565D">
        <w:trPr>
          <w:cantSplit/>
          <w:trHeight w:val="322"/>
        </w:trPr>
        <w:tc>
          <w:tcPr>
            <w:cnfStyle w:val="001000000000" w:firstRow="0" w:lastRow="0" w:firstColumn="1" w:lastColumn="0" w:oddVBand="0" w:evenVBand="0" w:oddHBand="0" w:evenHBand="0" w:firstRowFirstColumn="0" w:firstRowLastColumn="0" w:lastRowFirstColumn="0" w:lastRowLastColumn="0"/>
            <w:tcW w:w="5415" w:type="dxa"/>
            <w:noWrap/>
          </w:tcPr>
          <w:p w14:paraId="1C4C9538" w14:textId="7F55F49E" w:rsidR="007D180B" w:rsidRPr="00EE7192" w:rsidRDefault="007D180B" w:rsidP="007D180B">
            <w:pPr>
              <w:pStyle w:val="TableParagraph"/>
              <w:rPr>
                <w:b w:val="0"/>
                <w:sz w:val="24"/>
                <w:szCs w:val="24"/>
              </w:rPr>
            </w:pPr>
            <w:r w:rsidRPr="00CF1750">
              <w:rPr>
                <w:sz w:val="24"/>
                <w:szCs w:val="24"/>
              </w:rPr>
              <w:t xml:space="preserve">Skin </w:t>
            </w:r>
            <w:r w:rsidR="00CC6762" w:rsidRPr="00CF1750">
              <w:rPr>
                <w:sz w:val="24"/>
                <w:szCs w:val="24"/>
              </w:rPr>
              <w:t>preparation</w:t>
            </w:r>
            <w:r w:rsidRPr="00CF1750">
              <w:rPr>
                <w:sz w:val="24"/>
                <w:szCs w:val="24"/>
              </w:rPr>
              <w:t xml:space="preserve"> (e.g.</w:t>
            </w:r>
            <w:r w:rsidR="0055312A" w:rsidRPr="00CF1750">
              <w:rPr>
                <w:sz w:val="24"/>
                <w:szCs w:val="24"/>
              </w:rPr>
              <w:t>,</w:t>
            </w:r>
            <w:r w:rsidRPr="00CF1750">
              <w:rPr>
                <w:sz w:val="24"/>
                <w:szCs w:val="24"/>
              </w:rPr>
              <w:t xml:space="preserve"> </w:t>
            </w:r>
            <w:r w:rsidR="00D33A11" w:rsidRPr="00CF1750">
              <w:rPr>
                <w:sz w:val="24"/>
                <w:szCs w:val="24"/>
              </w:rPr>
              <w:t xml:space="preserve">preop </w:t>
            </w:r>
            <w:r w:rsidRPr="00CF1750">
              <w:rPr>
                <w:sz w:val="24"/>
                <w:szCs w:val="24"/>
              </w:rPr>
              <w:t>bathing)</w:t>
            </w:r>
            <w:r w:rsidR="006703C1" w:rsidRPr="00EE7192">
              <w:rPr>
                <w:sz w:val="28"/>
                <w:szCs w:val="24"/>
                <w:vertAlign w:val="superscript"/>
              </w:rPr>
              <w:t>a</w:t>
            </w:r>
          </w:p>
        </w:tc>
        <w:tc>
          <w:tcPr>
            <w:tcW w:w="2180" w:type="dxa"/>
          </w:tcPr>
          <w:p w14:paraId="41053BA1" w14:textId="043B6D44"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246F4DA7" w:rsidRPr="217FF934">
              <w:rPr>
                <w:i/>
                <w:iCs/>
                <w:sz w:val="24"/>
                <w:szCs w:val="24"/>
              </w:rPr>
              <w:t xml:space="preserve"> Enter here</w:t>
            </w:r>
          </w:p>
        </w:tc>
        <w:tc>
          <w:tcPr>
            <w:tcW w:w="2478" w:type="dxa"/>
          </w:tcPr>
          <w:p w14:paraId="00CD6D1E" w14:textId="7A8CB788"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367B0C8B" w:rsidRPr="217FF934">
              <w:rPr>
                <w:i/>
                <w:iCs/>
                <w:sz w:val="24"/>
                <w:szCs w:val="24"/>
              </w:rPr>
              <w:t xml:space="preserve"> Enter here</w:t>
            </w:r>
          </w:p>
        </w:tc>
      </w:tr>
      <w:tr w:rsidR="00242251" w:rsidRPr="00EE7192" w14:paraId="0CE93823" w14:textId="77777777" w:rsidTr="5F26565D">
        <w:trPr>
          <w:cantSplit/>
          <w:trHeight w:val="322"/>
        </w:trPr>
        <w:tc>
          <w:tcPr>
            <w:cnfStyle w:val="001000000000" w:firstRow="0" w:lastRow="0" w:firstColumn="1" w:lastColumn="0" w:oddVBand="0" w:evenVBand="0" w:oddHBand="0" w:evenHBand="0" w:firstRowFirstColumn="0" w:firstRowLastColumn="0" w:lastRowFirstColumn="0" w:lastRowLastColumn="0"/>
            <w:tcW w:w="5415" w:type="dxa"/>
            <w:noWrap/>
          </w:tcPr>
          <w:p w14:paraId="186DB760" w14:textId="214B375D" w:rsidR="007D180B" w:rsidRPr="00EE7192" w:rsidRDefault="007D180B" w:rsidP="007D180B">
            <w:pPr>
              <w:pStyle w:val="TableParagraph"/>
              <w:rPr>
                <w:b w:val="0"/>
                <w:sz w:val="24"/>
                <w:szCs w:val="24"/>
              </w:rPr>
            </w:pPr>
            <w:r w:rsidRPr="00EE7192">
              <w:rPr>
                <w:sz w:val="24"/>
                <w:szCs w:val="24"/>
              </w:rPr>
              <w:t>Preop delirium screening (patients age 65 years and older)</w:t>
            </w:r>
            <w:r w:rsidR="006703C1" w:rsidRPr="00EE7192">
              <w:rPr>
                <w:sz w:val="28"/>
                <w:szCs w:val="24"/>
                <w:vertAlign w:val="superscript"/>
              </w:rPr>
              <w:t>a</w:t>
            </w:r>
          </w:p>
        </w:tc>
        <w:tc>
          <w:tcPr>
            <w:tcW w:w="2180" w:type="dxa"/>
          </w:tcPr>
          <w:p w14:paraId="44209300" w14:textId="3DBCD9F1"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47E1818B" w:rsidRPr="217FF934">
              <w:rPr>
                <w:i/>
                <w:iCs/>
                <w:sz w:val="24"/>
                <w:szCs w:val="24"/>
              </w:rPr>
              <w:t xml:space="preserve"> Enter here</w:t>
            </w:r>
          </w:p>
        </w:tc>
        <w:tc>
          <w:tcPr>
            <w:tcW w:w="2478" w:type="dxa"/>
          </w:tcPr>
          <w:p w14:paraId="30B43886" w14:textId="6CF4B735"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4F30DA01" w:rsidRPr="217FF934">
              <w:rPr>
                <w:i/>
                <w:iCs/>
                <w:sz w:val="24"/>
                <w:szCs w:val="24"/>
              </w:rPr>
              <w:t xml:space="preserve"> Enter here</w:t>
            </w:r>
          </w:p>
        </w:tc>
      </w:tr>
      <w:tr w:rsidR="00B64E93" w:rsidRPr="00F96809" w14:paraId="18A4DD6F" w14:textId="77777777" w:rsidTr="5F26565D">
        <w:trPr>
          <w:cantSplit/>
          <w:trHeight w:val="443"/>
        </w:trPr>
        <w:tc>
          <w:tcPr>
            <w:cnfStyle w:val="001000000000" w:firstRow="0" w:lastRow="0" w:firstColumn="1" w:lastColumn="0" w:oddVBand="0" w:evenVBand="0" w:oddHBand="0" w:evenHBand="0" w:firstRowFirstColumn="0" w:firstRowLastColumn="0" w:lastRowFirstColumn="0" w:lastRowLastColumn="0"/>
            <w:tcW w:w="5415" w:type="dxa"/>
            <w:noWrap/>
          </w:tcPr>
          <w:p w14:paraId="6A1B46D1" w14:textId="3C7F30B7" w:rsidR="007D180B" w:rsidRPr="00EE7192" w:rsidRDefault="007D180B" w:rsidP="007D180B">
            <w:pPr>
              <w:pStyle w:val="TableParagraph"/>
              <w:rPr>
                <w:b w:val="0"/>
                <w:sz w:val="24"/>
                <w:szCs w:val="24"/>
              </w:rPr>
            </w:pPr>
            <w:r w:rsidRPr="00EE7192">
              <w:rPr>
                <w:sz w:val="24"/>
                <w:szCs w:val="24"/>
              </w:rPr>
              <w:t>Postop</w:t>
            </w:r>
            <w:r w:rsidR="008D4E36" w:rsidRPr="00EE7192">
              <w:rPr>
                <w:sz w:val="24"/>
                <w:szCs w:val="24"/>
              </w:rPr>
              <w:t>erative (postop)</w:t>
            </w:r>
            <w:r w:rsidR="00D83A24" w:rsidRPr="00EE7192">
              <w:rPr>
                <w:sz w:val="24"/>
                <w:szCs w:val="24"/>
              </w:rPr>
              <w:t xml:space="preserve"> </w:t>
            </w:r>
            <w:r w:rsidR="00CC6762" w:rsidRPr="00EE7192">
              <w:rPr>
                <w:sz w:val="24"/>
                <w:szCs w:val="24"/>
              </w:rPr>
              <w:t>v</w:t>
            </w:r>
            <w:r w:rsidR="00D83A24" w:rsidRPr="00EE7192">
              <w:rPr>
                <w:sz w:val="24"/>
                <w:szCs w:val="24"/>
              </w:rPr>
              <w:t>enous thromboembolic event (VTE)</w:t>
            </w:r>
            <w:r w:rsidRPr="00EE7192">
              <w:rPr>
                <w:sz w:val="24"/>
                <w:szCs w:val="24"/>
              </w:rPr>
              <w:t xml:space="preserve"> </w:t>
            </w:r>
            <w:proofErr w:type="spellStart"/>
            <w:r w:rsidR="006703C1" w:rsidRPr="00EE7192">
              <w:rPr>
                <w:sz w:val="24"/>
                <w:szCs w:val="24"/>
              </w:rPr>
              <w:t>chemoprophylaxis</w:t>
            </w:r>
            <w:r w:rsidR="006703C1" w:rsidRPr="00EE7192">
              <w:rPr>
                <w:sz w:val="28"/>
                <w:szCs w:val="24"/>
                <w:vertAlign w:val="superscript"/>
              </w:rPr>
              <w:t>a</w:t>
            </w:r>
            <w:proofErr w:type="spellEnd"/>
          </w:p>
        </w:tc>
        <w:tc>
          <w:tcPr>
            <w:tcW w:w="2180" w:type="dxa"/>
          </w:tcPr>
          <w:p w14:paraId="3378B14B" w14:textId="68233EED"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0BB69AE7" w:rsidRPr="217FF934">
              <w:rPr>
                <w:i/>
                <w:iCs/>
                <w:sz w:val="24"/>
                <w:szCs w:val="24"/>
              </w:rPr>
              <w:t xml:space="preserve"> Enter here</w:t>
            </w:r>
          </w:p>
        </w:tc>
        <w:tc>
          <w:tcPr>
            <w:tcW w:w="2478" w:type="dxa"/>
          </w:tcPr>
          <w:p w14:paraId="38365D44" w14:textId="3B31BF50"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04DE426C" w:rsidRPr="217FF934">
              <w:rPr>
                <w:i/>
                <w:iCs/>
                <w:sz w:val="24"/>
                <w:szCs w:val="24"/>
              </w:rPr>
              <w:t xml:space="preserve"> Enter here</w:t>
            </w:r>
          </w:p>
        </w:tc>
      </w:tr>
      <w:tr w:rsidR="00242251" w:rsidRPr="00EE7192" w14:paraId="39D0FCE3" w14:textId="77777777" w:rsidTr="5F26565D">
        <w:trPr>
          <w:cantSplit/>
          <w:trHeight w:val="322"/>
        </w:trPr>
        <w:tc>
          <w:tcPr>
            <w:cnfStyle w:val="001000000000" w:firstRow="0" w:lastRow="0" w:firstColumn="1" w:lastColumn="0" w:oddVBand="0" w:evenVBand="0" w:oddHBand="0" w:evenHBand="0" w:firstRowFirstColumn="0" w:firstRowLastColumn="0" w:lastRowFirstColumn="0" w:lastRowLastColumn="0"/>
            <w:tcW w:w="5415" w:type="dxa"/>
            <w:noWrap/>
          </w:tcPr>
          <w:p w14:paraId="07CFBC1A" w14:textId="26351E73" w:rsidR="007D180B" w:rsidRPr="00EE7192" w:rsidRDefault="007D180B" w:rsidP="007D180B">
            <w:pPr>
              <w:pStyle w:val="TableParagraph"/>
              <w:rPr>
                <w:b w:val="0"/>
                <w:sz w:val="24"/>
                <w:szCs w:val="24"/>
              </w:rPr>
            </w:pPr>
            <w:r w:rsidRPr="00CF1750">
              <w:rPr>
                <w:sz w:val="24"/>
                <w:szCs w:val="24"/>
              </w:rPr>
              <w:t>I</w:t>
            </w:r>
            <w:r w:rsidR="008D4E36" w:rsidRPr="00CF1750">
              <w:rPr>
                <w:sz w:val="24"/>
                <w:szCs w:val="24"/>
              </w:rPr>
              <w:t>ntravenous</w:t>
            </w:r>
            <w:r w:rsidRPr="00CF1750">
              <w:rPr>
                <w:sz w:val="24"/>
                <w:szCs w:val="24"/>
              </w:rPr>
              <w:t xml:space="preserve"> fluid discontinued by </w:t>
            </w:r>
            <w:r w:rsidR="003F0702" w:rsidRPr="00CF1750">
              <w:rPr>
                <w:sz w:val="24"/>
                <w:szCs w:val="24"/>
              </w:rPr>
              <w:t xml:space="preserve">postoperative day </w:t>
            </w:r>
            <w:r w:rsidR="00813105" w:rsidRPr="00CF1750">
              <w:rPr>
                <w:sz w:val="24"/>
                <w:szCs w:val="24"/>
              </w:rPr>
              <w:t>(</w:t>
            </w:r>
            <w:r w:rsidRPr="00CF1750">
              <w:rPr>
                <w:sz w:val="24"/>
                <w:szCs w:val="24"/>
              </w:rPr>
              <w:t>POD</w:t>
            </w:r>
            <w:r w:rsidR="00813105" w:rsidRPr="00CF1750">
              <w:rPr>
                <w:sz w:val="24"/>
                <w:szCs w:val="24"/>
              </w:rPr>
              <w:t xml:space="preserve">) </w:t>
            </w:r>
            <w:r w:rsidR="006703C1" w:rsidRPr="00CF1750">
              <w:rPr>
                <w:sz w:val="24"/>
                <w:szCs w:val="24"/>
              </w:rPr>
              <w:t>1</w:t>
            </w:r>
            <w:r w:rsidR="006703C1" w:rsidRPr="00EE7192">
              <w:rPr>
                <w:sz w:val="28"/>
                <w:szCs w:val="24"/>
                <w:vertAlign w:val="superscript"/>
              </w:rPr>
              <w:t>a</w:t>
            </w:r>
          </w:p>
        </w:tc>
        <w:tc>
          <w:tcPr>
            <w:tcW w:w="2180" w:type="dxa"/>
          </w:tcPr>
          <w:p w14:paraId="476FDD94" w14:textId="5A8B75E8"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0C606F71" w:rsidRPr="217FF934">
              <w:rPr>
                <w:i/>
                <w:iCs/>
                <w:sz w:val="24"/>
                <w:szCs w:val="24"/>
              </w:rPr>
              <w:t xml:space="preserve"> Enter here</w:t>
            </w:r>
          </w:p>
        </w:tc>
        <w:tc>
          <w:tcPr>
            <w:tcW w:w="2478" w:type="dxa"/>
          </w:tcPr>
          <w:p w14:paraId="29945015" w14:textId="15A4E7A4"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6CAFB12A" w:rsidRPr="217FF934">
              <w:rPr>
                <w:i/>
                <w:iCs/>
                <w:sz w:val="24"/>
                <w:szCs w:val="24"/>
              </w:rPr>
              <w:t xml:space="preserve"> Enter here</w:t>
            </w:r>
          </w:p>
        </w:tc>
      </w:tr>
      <w:tr w:rsidR="00242251" w:rsidRPr="00EE7192" w14:paraId="6FDEDB1F" w14:textId="77777777" w:rsidTr="5F26565D">
        <w:trPr>
          <w:cantSplit/>
          <w:trHeight w:val="322"/>
        </w:trPr>
        <w:tc>
          <w:tcPr>
            <w:cnfStyle w:val="001000000000" w:firstRow="0" w:lastRow="0" w:firstColumn="1" w:lastColumn="0" w:oddVBand="0" w:evenVBand="0" w:oddHBand="0" w:evenHBand="0" w:firstRowFirstColumn="0" w:firstRowLastColumn="0" w:lastRowFirstColumn="0" w:lastRowLastColumn="0"/>
            <w:tcW w:w="5415" w:type="dxa"/>
            <w:noWrap/>
          </w:tcPr>
          <w:p w14:paraId="43C29660" w14:textId="77777777" w:rsidR="007D180B" w:rsidRPr="00EE7192" w:rsidRDefault="007D180B" w:rsidP="007D180B">
            <w:pPr>
              <w:pStyle w:val="TableParagraph"/>
              <w:rPr>
                <w:b w:val="0"/>
                <w:sz w:val="24"/>
                <w:szCs w:val="24"/>
              </w:rPr>
            </w:pPr>
            <w:r w:rsidRPr="00EE7192">
              <w:rPr>
                <w:sz w:val="24"/>
                <w:szCs w:val="24"/>
              </w:rPr>
              <w:t>First postop mobilization</w:t>
            </w:r>
          </w:p>
        </w:tc>
        <w:tc>
          <w:tcPr>
            <w:tcW w:w="2180" w:type="dxa"/>
          </w:tcPr>
          <w:p w14:paraId="1B0FC49B" w14:textId="14F252A6"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18A22F6C" w:rsidRPr="217FF934">
              <w:rPr>
                <w:i/>
                <w:iCs/>
                <w:sz w:val="24"/>
                <w:szCs w:val="24"/>
              </w:rPr>
              <w:t xml:space="preserve"> Enter here</w:t>
            </w:r>
          </w:p>
        </w:tc>
        <w:tc>
          <w:tcPr>
            <w:tcW w:w="2478" w:type="dxa"/>
          </w:tcPr>
          <w:p w14:paraId="46F63F15" w14:textId="07918651"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78E0DEE1" w:rsidRPr="217FF934">
              <w:rPr>
                <w:i/>
                <w:iCs/>
                <w:sz w:val="24"/>
                <w:szCs w:val="24"/>
              </w:rPr>
              <w:t xml:space="preserve"> Enter here</w:t>
            </w:r>
          </w:p>
        </w:tc>
      </w:tr>
      <w:tr w:rsidR="00242251" w:rsidRPr="00EE7192" w14:paraId="63D70881" w14:textId="77777777" w:rsidTr="5F26565D">
        <w:trPr>
          <w:cantSplit/>
          <w:trHeight w:val="322"/>
        </w:trPr>
        <w:tc>
          <w:tcPr>
            <w:cnfStyle w:val="001000000000" w:firstRow="0" w:lastRow="0" w:firstColumn="1" w:lastColumn="0" w:oddVBand="0" w:evenVBand="0" w:oddHBand="0" w:evenHBand="0" w:firstRowFirstColumn="0" w:firstRowLastColumn="0" w:lastRowFirstColumn="0" w:lastRowLastColumn="0"/>
            <w:tcW w:w="5415" w:type="dxa"/>
            <w:noWrap/>
          </w:tcPr>
          <w:p w14:paraId="538933F0" w14:textId="77777777" w:rsidR="007D180B" w:rsidRPr="00EE7192" w:rsidRDefault="007D180B" w:rsidP="007D180B">
            <w:pPr>
              <w:pStyle w:val="TableParagraph"/>
              <w:rPr>
                <w:b w:val="0"/>
                <w:sz w:val="24"/>
                <w:szCs w:val="24"/>
              </w:rPr>
            </w:pPr>
            <w:r w:rsidRPr="00EE7192">
              <w:rPr>
                <w:sz w:val="24"/>
                <w:szCs w:val="24"/>
              </w:rPr>
              <w:lastRenderedPageBreak/>
              <w:t>First postop intake of liquids</w:t>
            </w:r>
          </w:p>
        </w:tc>
        <w:tc>
          <w:tcPr>
            <w:tcW w:w="2180" w:type="dxa"/>
          </w:tcPr>
          <w:p w14:paraId="519A6BCF" w14:textId="11534378"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20F9ADB7" w:rsidRPr="217FF934">
              <w:rPr>
                <w:i/>
                <w:iCs/>
                <w:sz w:val="24"/>
                <w:szCs w:val="24"/>
              </w:rPr>
              <w:t xml:space="preserve"> Enter here</w:t>
            </w:r>
          </w:p>
        </w:tc>
        <w:tc>
          <w:tcPr>
            <w:tcW w:w="2478" w:type="dxa"/>
          </w:tcPr>
          <w:p w14:paraId="2C26B413" w14:textId="2CA57CCE"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2B734B37" w:rsidRPr="217FF934">
              <w:rPr>
                <w:i/>
                <w:iCs/>
                <w:sz w:val="24"/>
                <w:szCs w:val="24"/>
              </w:rPr>
              <w:t xml:space="preserve"> Enter here</w:t>
            </w:r>
          </w:p>
        </w:tc>
      </w:tr>
      <w:tr w:rsidR="00242251" w:rsidRPr="00EE7192" w14:paraId="487479B5" w14:textId="77777777" w:rsidTr="5F26565D">
        <w:trPr>
          <w:cantSplit/>
          <w:trHeight w:val="322"/>
        </w:trPr>
        <w:tc>
          <w:tcPr>
            <w:cnfStyle w:val="001000000000" w:firstRow="0" w:lastRow="0" w:firstColumn="1" w:lastColumn="0" w:oddVBand="0" w:evenVBand="0" w:oddHBand="0" w:evenHBand="0" w:firstRowFirstColumn="0" w:firstRowLastColumn="0" w:lastRowFirstColumn="0" w:lastRowLastColumn="0"/>
            <w:tcW w:w="5415" w:type="dxa"/>
            <w:noWrap/>
          </w:tcPr>
          <w:p w14:paraId="74A9EBF3" w14:textId="77777777" w:rsidR="007D180B" w:rsidRPr="00EE7192" w:rsidRDefault="007D180B" w:rsidP="007D180B">
            <w:pPr>
              <w:pStyle w:val="TableParagraph"/>
              <w:rPr>
                <w:b w:val="0"/>
                <w:bCs w:val="0"/>
                <w:sz w:val="24"/>
                <w:szCs w:val="24"/>
              </w:rPr>
            </w:pPr>
            <w:r w:rsidRPr="00EE7192">
              <w:rPr>
                <w:sz w:val="24"/>
                <w:szCs w:val="24"/>
              </w:rPr>
              <w:t>First postop intake of solids</w:t>
            </w:r>
          </w:p>
          <w:p w14:paraId="4B6E2144" w14:textId="35CDC715" w:rsidR="008D4E36" w:rsidRPr="00EE7192" w:rsidRDefault="008D4E36" w:rsidP="00D3163C">
            <w:pPr>
              <w:tabs>
                <w:tab w:val="left" w:pos="1690"/>
              </w:tabs>
              <w:rPr>
                <w:sz w:val="24"/>
                <w:szCs w:val="24"/>
              </w:rPr>
            </w:pPr>
            <w:r w:rsidRPr="00EE7192">
              <w:rPr>
                <w:sz w:val="24"/>
                <w:szCs w:val="24"/>
                <w:lang w:bidi="en-US"/>
              </w:rPr>
              <w:tab/>
            </w:r>
          </w:p>
        </w:tc>
        <w:tc>
          <w:tcPr>
            <w:tcW w:w="2180" w:type="dxa"/>
          </w:tcPr>
          <w:p w14:paraId="5AFF16D4" w14:textId="5F8529A0"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1DC31F9E" w:rsidRPr="217FF934">
              <w:rPr>
                <w:i/>
                <w:iCs/>
                <w:sz w:val="24"/>
                <w:szCs w:val="24"/>
              </w:rPr>
              <w:t xml:space="preserve"> Enter here</w:t>
            </w:r>
          </w:p>
        </w:tc>
        <w:tc>
          <w:tcPr>
            <w:tcW w:w="2478" w:type="dxa"/>
          </w:tcPr>
          <w:p w14:paraId="071B96CA" w14:textId="70433FFC"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0D9D84C4" w:rsidRPr="217FF934">
              <w:rPr>
                <w:i/>
                <w:iCs/>
                <w:sz w:val="24"/>
                <w:szCs w:val="24"/>
              </w:rPr>
              <w:t xml:space="preserve"> Enter here</w:t>
            </w:r>
          </w:p>
        </w:tc>
      </w:tr>
      <w:tr w:rsidR="00242251" w:rsidRPr="00EE7192" w14:paraId="089BD455" w14:textId="77777777" w:rsidTr="5F26565D">
        <w:trPr>
          <w:cantSplit/>
          <w:trHeight w:val="322"/>
        </w:trPr>
        <w:tc>
          <w:tcPr>
            <w:cnfStyle w:val="001000000000" w:firstRow="0" w:lastRow="0" w:firstColumn="1" w:lastColumn="0" w:oddVBand="0" w:evenVBand="0" w:oddHBand="0" w:evenHBand="0" w:firstRowFirstColumn="0" w:firstRowLastColumn="0" w:lastRowFirstColumn="0" w:lastRowLastColumn="0"/>
            <w:tcW w:w="5415" w:type="dxa"/>
            <w:noWrap/>
          </w:tcPr>
          <w:p w14:paraId="376DE2AE" w14:textId="5EDDF087" w:rsidR="007D180B" w:rsidRPr="00EE7192" w:rsidRDefault="007D180B" w:rsidP="007D180B">
            <w:pPr>
              <w:pStyle w:val="TableParagraph"/>
              <w:rPr>
                <w:b w:val="0"/>
                <w:sz w:val="24"/>
                <w:szCs w:val="24"/>
              </w:rPr>
            </w:pPr>
            <w:r w:rsidRPr="00EE7192">
              <w:rPr>
                <w:sz w:val="24"/>
                <w:szCs w:val="24"/>
              </w:rPr>
              <w:t>Postop delirium screening (patients age 65 years and older)</w:t>
            </w:r>
            <w:r w:rsidR="006703C1" w:rsidRPr="00EE7192">
              <w:rPr>
                <w:sz w:val="28"/>
                <w:szCs w:val="24"/>
                <w:vertAlign w:val="superscript"/>
              </w:rPr>
              <w:t>a</w:t>
            </w:r>
          </w:p>
        </w:tc>
        <w:tc>
          <w:tcPr>
            <w:tcW w:w="2180" w:type="dxa"/>
          </w:tcPr>
          <w:p w14:paraId="0D9E0375" w14:textId="6C249567"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24D154BE" w:rsidRPr="217FF934">
              <w:rPr>
                <w:i/>
                <w:iCs/>
                <w:sz w:val="24"/>
                <w:szCs w:val="24"/>
              </w:rPr>
              <w:t xml:space="preserve"> Enter here</w:t>
            </w:r>
          </w:p>
        </w:tc>
        <w:tc>
          <w:tcPr>
            <w:tcW w:w="2478" w:type="dxa"/>
          </w:tcPr>
          <w:p w14:paraId="01F7559B" w14:textId="1AC5CE20"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2AD5E40B" w:rsidRPr="217FF934">
              <w:rPr>
                <w:i/>
                <w:iCs/>
                <w:sz w:val="24"/>
                <w:szCs w:val="24"/>
              </w:rPr>
              <w:t xml:space="preserve"> Enter here</w:t>
            </w:r>
          </w:p>
        </w:tc>
      </w:tr>
      <w:tr w:rsidR="00242251" w:rsidRPr="00EE7192" w14:paraId="08805C5A" w14:textId="77777777" w:rsidTr="5F26565D">
        <w:trPr>
          <w:cantSplit/>
          <w:trHeight w:val="322"/>
        </w:trPr>
        <w:tc>
          <w:tcPr>
            <w:cnfStyle w:val="001000000000" w:firstRow="0" w:lastRow="0" w:firstColumn="1" w:lastColumn="0" w:oddVBand="0" w:evenVBand="0" w:oddHBand="0" w:evenHBand="0" w:firstRowFirstColumn="0" w:firstRowLastColumn="0" w:lastRowFirstColumn="0" w:lastRowLastColumn="0"/>
            <w:tcW w:w="5415" w:type="dxa"/>
            <w:noWrap/>
          </w:tcPr>
          <w:p w14:paraId="5D2D7D1F" w14:textId="6C43F409" w:rsidR="007D180B" w:rsidRPr="00EE7192" w:rsidRDefault="007D180B" w:rsidP="007D180B">
            <w:pPr>
              <w:pStyle w:val="TableParagraph"/>
              <w:rPr>
                <w:b w:val="0"/>
                <w:sz w:val="24"/>
                <w:szCs w:val="24"/>
              </w:rPr>
            </w:pPr>
            <w:r w:rsidRPr="00EE7192">
              <w:rPr>
                <w:sz w:val="24"/>
                <w:szCs w:val="24"/>
              </w:rPr>
              <w:t>Prolonged indwelling urinary catheterization (</w:t>
            </w:r>
            <w:bookmarkStart w:id="1" w:name="_Hlk111567345"/>
            <w:r w:rsidRPr="00EE7192">
              <w:rPr>
                <w:sz w:val="24"/>
                <w:szCs w:val="24"/>
              </w:rPr>
              <w:t xml:space="preserve">POD 1 </w:t>
            </w:r>
            <w:bookmarkEnd w:id="1"/>
            <w:r w:rsidRPr="00EE7192">
              <w:rPr>
                <w:sz w:val="24"/>
                <w:szCs w:val="24"/>
              </w:rPr>
              <w:t>or longer)</w:t>
            </w:r>
          </w:p>
        </w:tc>
        <w:tc>
          <w:tcPr>
            <w:tcW w:w="2180" w:type="dxa"/>
          </w:tcPr>
          <w:p w14:paraId="35260098" w14:textId="56982B89"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6176E98D" w:rsidRPr="217FF934">
              <w:rPr>
                <w:i/>
                <w:iCs/>
                <w:sz w:val="24"/>
                <w:szCs w:val="24"/>
              </w:rPr>
              <w:t xml:space="preserve"> Enter here</w:t>
            </w:r>
          </w:p>
        </w:tc>
        <w:tc>
          <w:tcPr>
            <w:tcW w:w="2478" w:type="dxa"/>
          </w:tcPr>
          <w:p w14:paraId="0DF198D2" w14:textId="1C57E287"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6E8DEA71" w:rsidRPr="217FF934">
              <w:rPr>
                <w:i/>
                <w:iCs/>
                <w:sz w:val="24"/>
                <w:szCs w:val="24"/>
              </w:rPr>
              <w:t xml:space="preserve"> Enter here</w:t>
            </w:r>
          </w:p>
        </w:tc>
      </w:tr>
      <w:tr w:rsidR="00242251" w:rsidRPr="00EE7192" w14:paraId="6396542E" w14:textId="77777777" w:rsidTr="5F26565D">
        <w:trPr>
          <w:cantSplit/>
          <w:trHeight w:val="322"/>
        </w:trPr>
        <w:tc>
          <w:tcPr>
            <w:cnfStyle w:val="001000000000" w:firstRow="0" w:lastRow="0" w:firstColumn="1" w:lastColumn="0" w:oddVBand="0" w:evenVBand="0" w:oddHBand="0" w:evenHBand="0" w:firstRowFirstColumn="0" w:firstRowLastColumn="0" w:lastRowFirstColumn="0" w:lastRowLastColumn="0"/>
            <w:tcW w:w="5415" w:type="dxa"/>
            <w:noWrap/>
          </w:tcPr>
          <w:p w14:paraId="3F6394AE" w14:textId="77777777" w:rsidR="007D180B" w:rsidRPr="00EE7192" w:rsidRDefault="007D180B" w:rsidP="007D180B">
            <w:pPr>
              <w:pStyle w:val="TableParagraph"/>
              <w:rPr>
                <w:b w:val="0"/>
                <w:sz w:val="24"/>
                <w:szCs w:val="24"/>
              </w:rPr>
            </w:pPr>
            <w:r w:rsidRPr="00EE7192">
              <w:rPr>
                <w:sz w:val="24"/>
                <w:szCs w:val="24"/>
              </w:rPr>
              <w:t>Opioids prescribed at discharge</w:t>
            </w:r>
          </w:p>
        </w:tc>
        <w:tc>
          <w:tcPr>
            <w:tcW w:w="2180" w:type="dxa"/>
          </w:tcPr>
          <w:p w14:paraId="6A4BA296" w14:textId="230F4233"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69891F15" w:rsidRPr="217FF934">
              <w:rPr>
                <w:i/>
                <w:iCs/>
                <w:sz w:val="24"/>
                <w:szCs w:val="24"/>
              </w:rPr>
              <w:t xml:space="preserve"> Enter here</w:t>
            </w:r>
          </w:p>
        </w:tc>
        <w:tc>
          <w:tcPr>
            <w:tcW w:w="2478" w:type="dxa"/>
          </w:tcPr>
          <w:p w14:paraId="72A94A5A" w14:textId="744049D5"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02BDA595" w:rsidRPr="217FF934">
              <w:rPr>
                <w:i/>
                <w:iCs/>
                <w:sz w:val="24"/>
                <w:szCs w:val="24"/>
              </w:rPr>
              <w:t xml:space="preserve"> Enter here</w:t>
            </w:r>
          </w:p>
        </w:tc>
      </w:tr>
      <w:tr w:rsidR="00242251" w:rsidRPr="00EE7192" w14:paraId="1A2E04B5" w14:textId="77777777" w:rsidTr="5F26565D">
        <w:trPr>
          <w:cantSplit/>
          <w:trHeight w:val="322"/>
        </w:trPr>
        <w:tc>
          <w:tcPr>
            <w:cnfStyle w:val="001000000000" w:firstRow="0" w:lastRow="0" w:firstColumn="1" w:lastColumn="0" w:oddVBand="0" w:evenVBand="0" w:oddHBand="0" w:evenHBand="0" w:firstRowFirstColumn="0" w:firstRowLastColumn="0" w:lastRowFirstColumn="0" w:lastRowLastColumn="0"/>
            <w:tcW w:w="5415" w:type="dxa"/>
            <w:noWrap/>
          </w:tcPr>
          <w:p w14:paraId="192861B9" w14:textId="77777777" w:rsidR="007D180B" w:rsidRPr="00EE7192" w:rsidRDefault="007D180B" w:rsidP="007D180B">
            <w:pPr>
              <w:pStyle w:val="TableParagraph"/>
              <w:rPr>
                <w:b w:val="0"/>
                <w:sz w:val="24"/>
                <w:szCs w:val="24"/>
              </w:rPr>
            </w:pPr>
            <w:r w:rsidRPr="00EE7192">
              <w:rPr>
                <w:sz w:val="24"/>
                <w:szCs w:val="24"/>
              </w:rPr>
              <w:t>Quantity of opioid pills prescribed</w:t>
            </w:r>
          </w:p>
        </w:tc>
        <w:tc>
          <w:tcPr>
            <w:tcW w:w="2180" w:type="dxa"/>
          </w:tcPr>
          <w:p w14:paraId="3D39B718" w14:textId="16D7A927"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118A2C37" w:rsidRPr="217FF934">
              <w:rPr>
                <w:i/>
                <w:iCs/>
                <w:sz w:val="24"/>
                <w:szCs w:val="24"/>
              </w:rPr>
              <w:t xml:space="preserve"> Enter here</w:t>
            </w:r>
          </w:p>
        </w:tc>
        <w:tc>
          <w:tcPr>
            <w:tcW w:w="2478" w:type="dxa"/>
          </w:tcPr>
          <w:p w14:paraId="6A31F918" w14:textId="6004F6F0"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3911C7DC" w:rsidRPr="217FF934">
              <w:rPr>
                <w:i/>
                <w:iCs/>
                <w:sz w:val="24"/>
                <w:szCs w:val="24"/>
              </w:rPr>
              <w:t xml:space="preserve"> Enter here</w:t>
            </w:r>
          </w:p>
        </w:tc>
      </w:tr>
      <w:tr w:rsidR="00242251" w:rsidRPr="00EE7192" w14:paraId="2BC5E5BA" w14:textId="77777777" w:rsidTr="5F26565D">
        <w:trPr>
          <w:cantSplit/>
          <w:trHeight w:val="322"/>
        </w:trPr>
        <w:tc>
          <w:tcPr>
            <w:cnfStyle w:val="001000000000" w:firstRow="0" w:lastRow="0" w:firstColumn="1" w:lastColumn="0" w:oddVBand="0" w:evenVBand="0" w:oddHBand="0" w:evenHBand="0" w:firstRowFirstColumn="0" w:firstRowLastColumn="0" w:lastRowFirstColumn="0" w:lastRowLastColumn="0"/>
            <w:tcW w:w="5415" w:type="dxa"/>
            <w:noWrap/>
          </w:tcPr>
          <w:p w14:paraId="7277584F" w14:textId="77777777" w:rsidR="007D180B" w:rsidRPr="00EE7192" w:rsidRDefault="007D180B" w:rsidP="007D180B">
            <w:pPr>
              <w:pStyle w:val="TableParagraph"/>
              <w:rPr>
                <w:b w:val="0"/>
                <w:sz w:val="24"/>
                <w:szCs w:val="24"/>
              </w:rPr>
            </w:pPr>
            <w:r w:rsidRPr="00EE7192">
              <w:rPr>
                <w:sz w:val="24"/>
                <w:szCs w:val="24"/>
              </w:rPr>
              <w:t>Other:</w:t>
            </w:r>
          </w:p>
        </w:tc>
        <w:tc>
          <w:tcPr>
            <w:tcW w:w="2180" w:type="dxa"/>
          </w:tcPr>
          <w:p w14:paraId="6783D69E" w14:textId="3ECBE8F0"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44D213CD" w:rsidRPr="217FF934">
              <w:rPr>
                <w:i/>
                <w:iCs/>
                <w:sz w:val="24"/>
                <w:szCs w:val="24"/>
              </w:rPr>
              <w:t xml:space="preserve"> Enter here</w:t>
            </w:r>
          </w:p>
        </w:tc>
        <w:tc>
          <w:tcPr>
            <w:tcW w:w="2478" w:type="dxa"/>
          </w:tcPr>
          <w:p w14:paraId="47CD586B" w14:textId="45B9B0DD"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2B0D1C82" w:rsidRPr="217FF934">
              <w:rPr>
                <w:i/>
                <w:iCs/>
                <w:sz w:val="24"/>
                <w:szCs w:val="24"/>
              </w:rPr>
              <w:t xml:space="preserve"> Enter here</w:t>
            </w:r>
          </w:p>
        </w:tc>
      </w:tr>
    </w:tbl>
    <w:p w14:paraId="2060482B" w14:textId="5CE381FE" w:rsidR="00D33A11" w:rsidRPr="00EE7192" w:rsidRDefault="006703C1" w:rsidP="00B47C17">
      <w:pPr>
        <w:pStyle w:val="StyleReference12ptText1"/>
      </w:pPr>
      <w:proofErr w:type="spellStart"/>
      <w:r w:rsidRPr="00EE7192">
        <w:rPr>
          <w:sz w:val="28"/>
          <w:vertAlign w:val="superscript"/>
        </w:rPr>
        <w:t>a</w:t>
      </w:r>
      <w:r w:rsidR="00D33A11" w:rsidRPr="00EE7192">
        <w:t>If</w:t>
      </w:r>
      <w:proofErr w:type="spellEnd"/>
      <w:r w:rsidR="00D33A11" w:rsidRPr="00EE7192">
        <w:t xml:space="preserve"> applicable, based on the procedure and patient risk factors</w:t>
      </w:r>
    </w:p>
    <w:p w14:paraId="28BD6347" w14:textId="77777777" w:rsidR="007D180B" w:rsidRDefault="007D180B"/>
    <w:p w14:paraId="0496637A" w14:textId="77777777" w:rsidR="00A05BEA" w:rsidRDefault="00A05BEA">
      <w:pPr>
        <w:spacing w:after="0" w:line="240" w:lineRule="auto"/>
        <w:rPr>
          <w:b/>
          <w:bCs/>
          <w:sz w:val="28"/>
          <w:szCs w:val="28"/>
        </w:rPr>
      </w:pPr>
      <w:r>
        <w:br w:type="page"/>
      </w:r>
    </w:p>
    <w:p w14:paraId="1872FA24" w14:textId="5D10C724" w:rsidR="0046472C" w:rsidRPr="0046472C" w:rsidRDefault="0046472C" w:rsidP="00EE7192">
      <w:pPr>
        <w:pStyle w:val="Section2Title"/>
        <w:spacing w:after="120"/>
      </w:pPr>
      <w:r w:rsidRPr="0046472C">
        <w:lastRenderedPageBreak/>
        <w:t>Surgery</w:t>
      </w:r>
      <w:r w:rsidR="00CB6E3B">
        <w:t>-</w:t>
      </w:r>
      <w:r w:rsidRPr="0046472C">
        <w:t>Specific Process Measures</w:t>
      </w:r>
    </w:p>
    <w:tbl>
      <w:tblPr>
        <w:tblStyle w:val="GridTable1Light"/>
        <w:tblW w:w="10133" w:type="dxa"/>
        <w:tblLook w:val="04A0" w:firstRow="1" w:lastRow="0" w:firstColumn="1" w:lastColumn="0" w:noHBand="0" w:noVBand="1"/>
        <w:tblCaption w:val="Additional Colorectal Process Measures"/>
      </w:tblPr>
      <w:tblGrid>
        <w:gridCol w:w="4385"/>
        <w:gridCol w:w="2990"/>
        <w:gridCol w:w="2758"/>
      </w:tblGrid>
      <w:tr w:rsidR="0046472C" w:rsidRPr="00EE7192" w14:paraId="3EEF0D68" w14:textId="77777777" w:rsidTr="5F26565D">
        <w:trPr>
          <w:cnfStyle w:val="100000000000" w:firstRow="1" w:lastRow="0" w:firstColumn="0" w:lastColumn="0" w:oddVBand="0" w:evenVBand="0" w:oddHBand="0" w:evenHBand="0" w:firstRowFirstColumn="0" w:firstRowLastColumn="0" w:lastRowFirstColumn="0" w:lastRowLastColumn="0"/>
          <w:cantSplit/>
          <w:trHeight w:val="344"/>
          <w:tblHeader/>
        </w:trPr>
        <w:tc>
          <w:tcPr>
            <w:cnfStyle w:val="001000000000" w:firstRow="0" w:lastRow="0" w:firstColumn="1" w:lastColumn="0" w:oddVBand="0" w:evenVBand="0" w:oddHBand="0" w:evenHBand="0" w:firstRowFirstColumn="0" w:firstRowLastColumn="0" w:lastRowFirstColumn="0" w:lastRowLastColumn="0"/>
            <w:tcW w:w="4385" w:type="dxa"/>
            <w:noWrap/>
          </w:tcPr>
          <w:p w14:paraId="0DF3011C" w14:textId="77777777" w:rsidR="0046472C" w:rsidRPr="00EE7192" w:rsidRDefault="0046472C" w:rsidP="0046472C">
            <w:pPr>
              <w:pStyle w:val="TableParagraph"/>
              <w:rPr>
                <w:sz w:val="28"/>
                <w:szCs w:val="24"/>
              </w:rPr>
            </w:pPr>
            <w:r w:rsidRPr="00EE7192">
              <w:rPr>
                <w:sz w:val="28"/>
                <w:szCs w:val="24"/>
              </w:rPr>
              <w:t>Additional Colorectal Process Measures</w:t>
            </w:r>
          </w:p>
        </w:tc>
        <w:tc>
          <w:tcPr>
            <w:tcW w:w="2990" w:type="dxa"/>
          </w:tcPr>
          <w:p w14:paraId="3E7E5455" w14:textId="2594DAC9" w:rsidR="0046472C" w:rsidRPr="00EE7192" w:rsidRDefault="006703C1" w:rsidP="0046472C">
            <w:pPr>
              <w:pStyle w:val="TableParagraph"/>
              <w:cnfStyle w:val="100000000000" w:firstRow="1" w:lastRow="0" w:firstColumn="0" w:lastColumn="0" w:oddVBand="0" w:evenVBand="0" w:oddHBand="0" w:evenHBand="0" w:firstRowFirstColumn="0" w:firstRowLastColumn="0" w:lastRowFirstColumn="0" w:lastRowLastColumn="0"/>
              <w:rPr>
                <w:sz w:val="28"/>
                <w:szCs w:val="24"/>
              </w:rPr>
            </w:pPr>
            <w:r w:rsidRPr="00EE7192">
              <w:rPr>
                <w:sz w:val="28"/>
                <w:szCs w:val="24"/>
              </w:rPr>
              <w:t>Relevant Stakeholders</w:t>
            </w:r>
          </w:p>
        </w:tc>
        <w:tc>
          <w:tcPr>
            <w:tcW w:w="2758" w:type="dxa"/>
          </w:tcPr>
          <w:p w14:paraId="0F760D75" w14:textId="5A9A0DA3" w:rsidR="0046472C" w:rsidRPr="00EE7192" w:rsidRDefault="0046472C" w:rsidP="0046472C">
            <w:pPr>
              <w:pStyle w:val="TableParagraph"/>
              <w:cnfStyle w:val="100000000000" w:firstRow="1" w:lastRow="0" w:firstColumn="0" w:lastColumn="0" w:oddVBand="0" w:evenVBand="0" w:oddHBand="0" w:evenHBand="0" w:firstRowFirstColumn="0" w:firstRowLastColumn="0" w:lastRowFirstColumn="0" w:lastRowLastColumn="0"/>
              <w:rPr>
                <w:sz w:val="28"/>
                <w:szCs w:val="24"/>
              </w:rPr>
            </w:pPr>
            <w:r w:rsidRPr="00EE7192">
              <w:rPr>
                <w:sz w:val="28"/>
                <w:szCs w:val="24"/>
              </w:rPr>
              <w:t xml:space="preserve">Approach to </w:t>
            </w:r>
            <w:r w:rsidR="00387EC7" w:rsidRPr="00EE7192">
              <w:rPr>
                <w:sz w:val="28"/>
                <w:szCs w:val="24"/>
              </w:rPr>
              <w:t>Data Sharing</w:t>
            </w:r>
          </w:p>
        </w:tc>
      </w:tr>
      <w:tr w:rsidR="0046472C" w:rsidRPr="00EE7192" w14:paraId="3BB06EC8" w14:textId="77777777" w:rsidTr="5F26565D">
        <w:trPr>
          <w:cantSplit/>
          <w:trHeight w:val="344"/>
        </w:trPr>
        <w:tc>
          <w:tcPr>
            <w:cnfStyle w:val="001000000000" w:firstRow="0" w:lastRow="0" w:firstColumn="1" w:lastColumn="0" w:oddVBand="0" w:evenVBand="0" w:oddHBand="0" w:evenHBand="0" w:firstRowFirstColumn="0" w:firstRowLastColumn="0" w:lastRowFirstColumn="0" w:lastRowLastColumn="0"/>
            <w:tcW w:w="4385" w:type="dxa"/>
            <w:noWrap/>
          </w:tcPr>
          <w:p w14:paraId="73E228B1" w14:textId="77777777" w:rsidR="0046472C" w:rsidRPr="00EE7192" w:rsidRDefault="0046472C" w:rsidP="005109A8">
            <w:pPr>
              <w:pStyle w:val="TableParagraph"/>
              <w:rPr>
                <w:b w:val="0"/>
                <w:sz w:val="24"/>
                <w:szCs w:val="24"/>
              </w:rPr>
            </w:pPr>
            <w:r w:rsidRPr="00EE7192">
              <w:rPr>
                <w:sz w:val="24"/>
                <w:szCs w:val="24"/>
              </w:rPr>
              <w:t>Preoperative VTE chemoprophylaxis</w:t>
            </w:r>
          </w:p>
        </w:tc>
        <w:tc>
          <w:tcPr>
            <w:tcW w:w="2990" w:type="dxa"/>
          </w:tcPr>
          <w:p w14:paraId="35A93495" w14:textId="7A49325B" w:rsidR="0046472C" w:rsidRPr="00EE7192" w:rsidRDefault="00B36099" w:rsidP="5F26565D">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5F26565D">
              <w:rPr>
                <w:i/>
                <w:iCs/>
              </w:rPr>
              <w:t>-</w:t>
            </w:r>
            <w:r w:rsidR="00CF1750">
              <w:t xml:space="preserve"> </w:t>
            </w:r>
            <w:r w:rsidR="28833D69" w:rsidRPr="5F26565D">
              <w:rPr>
                <w:i/>
                <w:iCs/>
                <w:sz w:val="24"/>
                <w:szCs w:val="24"/>
              </w:rPr>
              <w:t xml:space="preserve"> Enter here</w:t>
            </w:r>
          </w:p>
          <w:p w14:paraId="46400D4E" w14:textId="22818074" w:rsidR="0046472C" w:rsidRPr="00EE7192" w:rsidRDefault="0046472C" w:rsidP="5F26565D">
            <w:pPr>
              <w:pStyle w:val="TableParagraph"/>
              <w:cnfStyle w:val="000000000000" w:firstRow="0" w:lastRow="0" w:firstColumn="0" w:lastColumn="0" w:oddVBand="0" w:evenVBand="0" w:oddHBand="0" w:evenHBand="0" w:firstRowFirstColumn="0" w:firstRowLastColumn="0" w:lastRowFirstColumn="0" w:lastRowLastColumn="0"/>
              <w:rPr>
                <w:i/>
                <w:iCs/>
              </w:rPr>
            </w:pPr>
          </w:p>
        </w:tc>
        <w:tc>
          <w:tcPr>
            <w:tcW w:w="2758" w:type="dxa"/>
          </w:tcPr>
          <w:p w14:paraId="4B65DBFD" w14:textId="651DB6EE" w:rsidR="0046472C" w:rsidRPr="00EE7192" w:rsidRDefault="00B36099" w:rsidP="5F26565D">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5F26565D">
              <w:rPr>
                <w:i/>
                <w:iCs/>
              </w:rPr>
              <w:t>-</w:t>
            </w:r>
            <w:r w:rsidR="00CF1750">
              <w:t xml:space="preserve"> </w:t>
            </w:r>
            <w:r w:rsidR="5FA624FD" w:rsidRPr="5F26565D">
              <w:rPr>
                <w:i/>
                <w:iCs/>
                <w:sz w:val="24"/>
                <w:szCs w:val="24"/>
              </w:rPr>
              <w:t xml:space="preserve"> Enter here</w:t>
            </w:r>
          </w:p>
          <w:p w14:paraId="224B3EAE" w14:textId="1E3C23F5" w:rsidR="0046472C" w:rsidRPr="00EE7192" w:rsidRDefault="0046472C" w:rsidP="5F26565D">
            <w:pPr>
              <w:pStyle w:val="TableParagraph"/>
              <w:cnfStyle w:val="000000000000" w:firstRow="0" w:lastRow="0" w:firstColumn="0" w:lastColumn="0" w:oddVBand="0" w:evenVBand="0" w:oddHBand="0" w:evenHBand="0" w:firstRowFirstColumn="0" w:firstRowLastColumn="0" w:lastRowFirstColumn="0" w:lastRowLastColumn="0"/>
              <w:rPr>
                <w:i/>
                <w:iCs/>
              </w:rPr>
            </w:pPr>
          </w:p>
        </w:tc>
      </w:tr>
      <w:tr w:rsidR="0046472C" w:rsidRPr="00EE7192" w14:paraId="7FFC8347" w14:textId="77777777" w:rsidTr="5F26565D">
        <w:trPr>
          <w:cantSplit/>
          <w:trHeight w:val="372"/>
        </w:trPr>
        <w:tc>
          <w:tcPr>
            <w:cnfStyle w:val="001000000000" w:firstRow="0" w:lastRow="0" w:firstColumn="1" w:lastColumn="0" w:oddVBand="0" w:evenVBand="0" w:oddHBand="0" w:evenHBand="0" w:firstRowFirstColumn="0" w:firstRowLastColumn="0" w:lastRowFirstColumn="0" w:lastRowLastColumn="0"/>
            <w:tcW w:w="4385" w:type="dxa"/>
            <w:noWrap/>
          </w:tcPr>
          <w:p w14:paraId="7A96B2C3" w14:textId="77777777" w:rsidR="0046472C" w:rsidRPr="00EE7192" w:rsidRDefault="0046472C" w:rsidP="005109A8">
            <w:pPr>
              <w:pStyle w:val="TableParagraph"/>
              <w:rPr>
                <w:b w:val="0"/>
                <w:sz w:val="24"/>
                <w:szCs w:val="24"/>
              </w:rPr>
            </w:pPr>
            <w:r w:rsidRPr="00EE7192">
              <w:rPr>
                <w:sz w:val="24"/>
                <w:szCs w:val="24"/>
              </w:rPr>
              <w:t>Preoperative mechanical bowel prep</w:t>
            </w:r>
          </w:p>
        </w:tc>
        <w:tc>
          <w:tcPr>
            <w:tcW w:w="2990" w:type="dxa"/>
          </w:tcPr>
          <w:p w14:paraId="0254E751" w14:textId="35B91CEF" w:rsidR="0046472C" w:rsidRPr="00EE7192" w:rsidRDefault="00B36099" w:rsidP="00CF1750">
            <w:pPr>
              <w:pStyle w:val="TableParagraph"/>
              <w:ind w:left="91"/>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305B7AA3" w:rsidRPr="217FF934">
              <w:rPr>
                <w:i/>
                <w:iCs/>
                <w:sz w:val="24"/>
                <w:szCs w:val="24"/>
              </w:rPr>
              <w:t xml:space="preserve"> Enter here</w:t>
            </w:r>
          </w:p>
        </w:tc>
        <w:tc>
          <w:tcPr>
            <w:tcW w:w="2758" w:type="dxa"/>
          </w:tcPr>
          <w:p w14:paraId="0E3AC74D" w14:textId="2763009D" w:rsidR="0046472C" w:rsidRPr="00EE7192" w:rsidRDefault="00B36099" w:rsidP="005109A8">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2C080CA7" w:rsidRPr="217FF934">
              <w:rPr>
                <w:i/>
                <w:iCs/>
                <w:sz w:val="24"/>
                <w:szCs w:val="24"/>
              </w:rPr>
              <w:t xml:space="preserve"> Enter here</w:t>
            </w:r>
          </w:p>
        </w:tc>
      </w:tr>
      <w:tr w:rsidR="0046472C" w:rsidRPr="00EE7192" w14:paraId="73701B5F" w14:textId="77777777" w:rsidTr="5F26565D">
        <w:trPr>
          <w:cantSplit/>
          <w:trHeight w:val="372"/>
        </w:trPr>
        <w:tc>
          <w:tcPr>
            <w:cnfStyle w:val="001000000000" w:firstRow="0" w:lastRow="0" w:firstColumn="1" w:lastColumn="0" w:oddVBand="0" w:evenVBand="0" w:oddHBand="0" w:evenHBand="0" w:firstRowFirstColumn="0" w:firstRowLastColumn="0" w:lastRowFirstColumn="0" w:lastRowLastColumn="0"/>
            <w:tcW w:w="4385" w:type="dxa"/>
            <w:noWrap/>
          </w:tcPr>
          <w:p w14:paraId="15453561" w14:textId="77777777" w:rsidR="0046472C" w:rsidRPr="00EE7192" w:rsidRDefault="0046472C" w:rsidP="005109A8">
            <w:pPr>
              <w:pStyle w:val="TableParagraph"/>
              <w:rPr>
                <w:b w:val="0"/>
                <w:sz w:val="24"/>
                <w:szCs w:val="24"/>
              </w:rPr>
            </w:pPr>
            <w:r w:rsidRPr="00EE7192">
              <w:rPr>
                <w:sz w:val="24"/>
                <w:szCs w:val="24"/>
              </w:rPr>
              <w:t xml:space="preserve">Preoperative oral antibiotics </w:t>
            </w:r>
          </w:p>
        </w:tc>
        <w:tc>
          <w:tcPr>
            <w:tcW w:w="2990" w:type="dxa"/>
          </w:tcPr>
          <w:p w14:paraId="1B1D8403" w14:textId="1F6CB3E4" w:rsidR="0046472C" w:rsidRPr="00EE7192" w:rsidRDefault="00B36099" w:rsidP="00CF1750">
            <w:pPr>
              <w:pStyle w:val="TableParagraph"/>
              <w:ind w:left="91"/>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30F8D024" w:rsidRPr="217FF934">
              <w:rPr>
                <w:i/>
                <w:iCs/>
                <w:sz w:val="24"/>
                <w:szCs w:val="24"/>
              </w:rPr>
              <w:t xml:space="preserve"> Enter here</w:t>
            </w:r>
          </w:p>
        </w:tc>
        <w:tc>
          <w:tcPr>
            <w:tcW w:w="2758" w:type="dxa"/>
          </w:tcPr>
          <w:p w14:paraId="565E1C4A" w14:textId="00305BDD" w:rsidR="0046472C" w:rsidRPr="00EE7192" w:rsidRDefault="00B36099" w:rsidP="005109A8">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0F420D70" w:rsidRPr="217FF934">
              <w:rPr>
                <w:i/>
                <w:iCs/>
                <w:sz w:val="24"/>
                <w:szCs w:val="24"/>
              </w:rPr>
              <w:t xml:space="preserve"> Enter here</w:t>
            </w:r>
          </w:p>
        </w:tc>
      </w:tr>
      <w:tr w:rsidR="00511960" w:rsidRPr="00EE7192" w14:paraId="6114B654" w14:textId="77777777" w:rsidTr="5F26565D">
        <w:trPr>
          <w:cantSplit/>
          <w:trHeight w:val="372"/>
        </w:trPr>
        <w:tc>
          <w:tcPr>
            <w:cnfStyle w:val="001000000000" w:firstRow="0" w:lastRow="0" w:firstColumn="1" w:lastColumn="0" w:oddVBand="0" w:evenVBand="0" w:oddHBand="0" w:evenHBand="0" w:firstRowFirstColumn="0" w:firstRowLastColumn="0" w:lastRowFirstColumn="0" w:lastRowLastColumn="0"/>
            <w:tcW w:w="4385" w:type="dxa"/>
            <w:noWrap/>
          </w:tcPr>
          <w:p w14:paraId="2915FC44" w14:textId="4E93CF87" w:rsidR="00511960" w:rsidRPr="00EE7192" w:rsidRDefault="00511960" w:rsidP="005109A8">
            <w:pPr>
              <w:pStyle w:val="TableParagraph"/>
              <w:rPr>
                <w:sz w:val="24"/>
                <w:szCs w:val="24"/>
              </w:rPr>
            </w:pPr>
            <w:r w:rsidRPr="00EE7192">
              <w:rPr>
                <w:sz w:val="24"/>
                <w:szCs w:val="24"/>
              </w:rPr>
              <w:t>Other:</w:t>
            </w:r>
          </w:p>
        </w:tc>
        <w:tc>
          <w:tcPr>
            <w:tcW w:w="2990" w:type="dxa"/>
          </w:tcPr>
          <w:p w14:paraId="4B7B87EE" w14:textId="67F0A4DC" w:rsidR="00511960" w:rsidRPr="00EE7192" w:rsidRDefault="00B36099" w:rsidP="00CF1750">
            <w:pPr>
              <w:pStyle w:val="TableParagraph"/>
              <w:ind w:left="91"/>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64068267" w:rsidRPr="217FF934">
              <w:rPr>
                <w:i/>
                <w:iCs/>
                <w:sz w:val="24"/>
                <w:szCs w:val="24"/>
              </w:rPr>
              <w:t xml:space="preserve"> Enter here</w:t>
            </w:r>
          </w:p>
        </w:tc>
        <w:tc>
          <w:tcPr>
            <w:tcW w:w="2758" w:type="dxa"/>
          </w:tcPr>
          <w:p w14:paraId="5D1A9D63" w14:textId="07193FE4" w:rsidR="00511960" w:rsidRPr="00EE7192" w:rsidRDefault="00B36099" w:rsidP="005109A8">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631432D8" w:rsidRPr="217FF934">
              <w:rPr>
                <w:i/>
                <w:iCs/>
                <w:sz w:val="24"/>
                <w:szCs w:val="24"/>
              </w:rPr>
              <w:t xml:space="preserve"> Enter here</w:t>
            </w:r>
          </w:p>
        </w:tc>
      </w:tr>
    </w:tbl>
    <w:p w14:paraId="0C53ED75" w14:textId="77777777" w:rsidR="006F1152" w:rsidRDefault="006F1152" w:rsidP="0046472C">
      <w:pPr>
        <w:contextualSpacing/>
        <w:rPr>
          <w:i/>
          <w:sz w:val="20"/>
        </w:rPr>
      </w:pPr>
    </w:p>
    <w:tbl>
      <w:tblPr>
        <w:tblStyle w:val="GridTable1Light"/>
        <w:tblW w:w="10118" w:type="dxa"/>
        <w:tblLook w:val="04A0" w:firstRow="1" w:lastRow="0" w:firstColumn="1" w:lastColumn="0" w:noHBand="0" w:noVBand="1"/>
        <w:tblCaption w:val="Additional Gynecology Process Measures"/>
      </w:tblPr>
      <w:tblGrid>
        <w:gridCol w:w="4378"/>
        <w:gridCol w:w="2997"/>
        <w:gridCol w:w="2743"/>
      </w:tblGrid>
      <w:tr w:rsidR="0046472C" w:rsidRPr="00EE7192" w14:paraId="78CBB3F5" w14:textId="77777777" w:rsidTr="5F26565D">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4378" w:type="dxa"/>
            <w:noWrap/>
          </w:tcPr>
          <w:p w14:paraId="08233D19" w14:textId="77777777" w:rsidR="0046472C" w:rsidRPr="00EE7192" w:rsidRDefault="0046472C" w:rsidP="0046472C">
            <w:pPr>
              <w:pStyle w:val="TableParagraph"/>
              <w:rPr>
                <w:i/>
                <w:iCs/>
                <w:sz w:val="28"/>
                <w:szCs w:val="24"/>
              </w:rPr>
            </w:pPr>
            <w:r w:rsidRPr="00EE7192">
              <w:rPr>
                <w:sz w:val="28"/>
                <w:szCs w:val="24"/>
              </w:rPr>
              <w:t>Additional Gynecology Process Measures</w:t>
            </w:r>
          </w:p>
        </w:tc>
        <w:tc>
          <w:tcPr>
            <w:tcW w:w="2997" w:type="dxa"/>
          </w:tcPr>
          <w:p w14:paraId="4AEBAF90" w14:textId="5A633B7E" w:rsidR="0046472C" w:rsidRPr="00EE7192" w:rsidRDefault="006703C1" w:rsidP="0046472C">
            <w:pPr>
              <w:pStyle w:val="TableParagraph"/>
              <w:cnfStyle w:val="100000000000" w:firstRow="1" w:lastRow="0" w:firstColumn="0" w:lastColumn="0" w:oddVBand="0" w:evenVBand="0" w:oddHBand="0" w:evenHBand="0" w:firstRowFirstColumn="0" w:firstRowLastColumn="0" w:lastRowFirstColumn="0" w:lastRowLastColumn="0"/>
              <w:rPr>
                <w:b w:val="0"/>
                <w:i/>
                <w:iCs/>
                <w:sz w:val="28"/>
                <w:szCs w:val="24"/>
              </w:rPr>
            </w:pPr>
            <w:r w:rsidRPr="00EE7192">
              <w:rPr>
                <w:sz w:val="28"/>
                <w:szCs w:val="24"/>
              </w:rPr>
              <w:t>Relevant Stakeholders</w:t>
            </w:r>
          </w:p>
        </w:tc>
        <w:tc>
          <w:tcPr>
            <w:tcW w:w="2743" w:type="dxa"/>
          </w:tcPr>
          <w:p w14:paraId="4EBB0C17" w14:textId="2BEE2572" w:rsidR="0046472C" w:rsidRPr="00EE7192" w:rsidRDefault="0046472C" w:rsidP="0046472C">
            <w:pPr>
              <w:pStyle w:val="TableParagraph"/>
              <w:cnfStyle w:val="100000000000" w:firstRow="1" w:lastRow="0" w:firstColumn="0" w:lastColumn="0" w:oddVBand="0" w:evenVBand="0" w:oddHBand="0" w:evenHBand="0" w:firstRowFirstColumn="0" w:firstRowLastColumn="0" w:lastRowFirstColumn="0" w:lastRowLastColumn="0"/>
              <w:rPr>
                <w:i/>
                <w:iCs/>
                <w:sz w:val="28"/>
                <w:szCs w:val="24"/>
              </w:rPr>
            </w:pPr>
            <w:r w:rsidRPr="00EE7192">
              <w:rPr>
                <w:sz w:val="28"/>
                <w:szCs w:val="24"/>
              </w:rPr>
              <w:t xml:space="preserve">Approach to </w:t>
            </w:r>
            <w:r w:rsidR="00387EC7" w:rsidRPr="00EE7192">
              <w:rPr>
                <w:sz w:val="28"/>
                <w:szCs w:val="24"/>
              </w:rPr>
              <w:t>Data Sharing</w:t>
            </w:r>
          </w:p>
        </w:tc>
      </w:tr>
      <w:tr w:rsidR="0055312A" w:rsidRPr="00EE7192" w14:paraId="7D6F3C56" w14:textId="77777777" w:rsidTr="5F26565D">
        <w:trPr>
          <w:cantSplit/>
          <w:trHeight w:val="339"/>
        </w:trPr>
        <w:tc>
          <w:tcPr>
            <w:cnfStyle w:val="001000000000" w:firstRow="0" w:lastRow="0" w:firstColumn="1" w:lastColumn="0" w:oddVBand="0" w:evenVBand="0" w:oddHBand="0" w:evenHBand="0" w:firstRowFirstColumn="0" w:firstRowLastColumn="0" w:lastRowFirstColumn="0" w:lastRowLastColumn="0"/>
            <w:tcW w:w="4378" w:type="dxa"/>
            <w:noWrap/>
          </w:tcPr>
          <w:p w14:paraId="39C3A388" w14:textId="77777777" w:rsidR="0055312A" w:rsidRPr="00EE7192" w:rsidRDefault="0055312A" w:rsidP="005109A8">
            <w:pPr>
              <w:pStyle w:val="TableParagraph"/>
              <w:rPr>
                <w:b w:val="0"/>
                <w:sz w:val="24"/>
                <w:szCs w:val="24"/>
              </w:rPr>
            </w:pPr>
            <w:r w:rsidRPr="00EE7192">
              <w:rPr>
                <w:sz w:val="24"/>
                <w:szCs w:val="24"/>
              </w:rPr>
              <w:t>Preoperative VTE chemoprophylaxis</w:t>
            </w:r>
          </w:p>
        </w:tc>
        <w:tc>
          <w:tcPr>
            <w:tcW w:w="2997" w:type="dxa"/>
          </w:tcPr>
          <w:p w14:paraId="151AC268" w14:textId="3FFFBBA0" w:rsidR="0055312A" w:rsidRPr="00EE7192" w:rsidRDefault="00B36099" w:rsidP="5F26565D">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5F26565D">
              <w:rPr>
                <w:i/>
                <w:iCs/>
              </w:rPr>
              <w:t>-</w:t>
            </w:r>
            <w:r w:rsidR="00CF1750">
              <w:t xml:space="preserve"> </w:t>
            </w:r>
            <w:r w:rsidR="77D1905D" w:rsidRPr="5F26565D">
              <w:rPr>
                <w:i/>
                <w:iCs/>
                <w:sz w:val="24"/>
                <w:szCs w:val="24"/>
              </w:rPr>
              <w:t xml:space="preserve"> Enter here</w:t>
            </w:r>
          </w:p>
          <w:p w14:paraId="2165770B" w14:textId="3161AB26" w:rsidR="0055312A" w:rsidRPr="00EE7192" w:rsidRDefault="0055312A" w:rsidP="5F26565D">
            <w:pPr>
              <w:pStyle w:val="TableParagraph"/>
              <w:cnfStyle w:val="000000000000" w:firstRow="0" w:lastRow="0" w:firstColumn="0" w:lastColumn="0" w:oddVBand="0" w:evenVBand="0" w:oddHBand="0" w:evenHBand="0" w:firstRowFirstColumn="0" w:firstRowLastColumn="0" w:lastRowFirstColumn="0" w:lastRowLastColumn="0"/>
              <w:rPr>
                <w:i/>
                <w:iCs/>
              </w:rPr>
            </w:pPr>
          </w:p>
        </w:tc>
        <w:tc>
          <w:tcPr>
            <w:tcW w:w="2743" w:type="dxa"/>
          </w:tcPr>
          <w:p w14:paraId="6A7B4DCD" w14:textId="50CDC9EF" w:rsidR="0055312A" w:rsidRPr="00EE7192" w:rsidRDefault="00B36099" w:rsidP="5F26565D">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5F26565D">
              <w:rPr>
                <w:i/>
                <w:iCs/>
              </w:rPr>
              <w:t>-</w:t>
            </w:r>
            <w:r w:rsidR="00CF1750">
              <w:t xml:space="preserve"> </w:t>
            </w:r>
            <w:r w:rsidR="0E3CC06C" w:rsidRPr="5F26565D">
              <w:rPr>
                <w:i/>
                <w:iCs/>
                <w:sz w:val="24"/>
                <w:szCs w:val="24"/>
              </w:rPr>
              <w:t xml:space="preserve"> Enter here</w:t>
            </w:r>
          </w:p>
          <w:p w14:paraId="4C94A448" w14:textId="4DA95ADE" w:rsidR="0055312A" w:rsidRPr="00EE7192" w:rsidRDefault="0055312A" w:rsidP="5F26565D">
            <w:pPr>
              <w:pStyle w:val="TableParagraph"/>
              <w:cnfStyle w:val="000000000000" w:firstRow="0" w:lastRow="0" w:firstColumn="0" w:lastColumn="0" w:oddVBand="0" w:evenVBand="0" w:oddHBand="0" w:evenHBand="0" w:firstRowFirstColumn="0" w:firstRowLastColumn="0" w:lastRowFirstColumn="0" w:lastRowLastColumn="0"/>
              <w:rPr>
                <w:i/>
                <w:iCs/>
              </w:rPr>
            </w:pPr>
          </w:p>
        </w:tc>
      </w:tr>
      <w:tr w:rsidR="0046472C" w:rsidRPr="00EE7192" w14:paraId="2F796A49" w14:textId="77777777" w:rsidTr="5F26565D">
        <w:trPr>
          <w:cantSplit/>
          <w:trHeight w:val="339"/>
        </w:trPr>
        <w:tc>
          <w:tcPr>
            <w:cnfStyle w:val="001000000000" w:firstRow="0" w:lastRow="0" w:firstColumn="1" w:lastColumn="0" w:oddVBand="0" w:evenVBand="0" w:oddHBand="0" w:evenHBand="0" w:firstRowFirstColumn="0" w:firstRowLastColumn="0" w:lastRowFirstColumn="0" w:lastRowLastColumn="0"/>
            <w:tcW w:w="4378" w:type="dxa"/>
            <w:noWrap/>
          </w:tcPr>
          <w:p w14:paraId="2F6ABBCF" w14:textId="4C7260B0" w:rsidR="0046472C" w:rsidRPr="00EE7192" w:rsidRDefault="0046472C" w:rsidP="005109A8">
            <w:pPr>
              <w:pStyle w:val="TableParagraph"/>
              <w:rPr>
                <w:rFonts w:eastAsia="Times New Roman" w:cs="Times New Roman"/>
                <w:b w:val="0"/>
                <w:bCs w:val="0"/>
                <w:color w:val="000000"/>
                <w:sz w:val="24"/>
                <w:szCs w:val="24"/>
              </w:rPr>
            </w:pPr>
            <w:r w:rsidRPr="00EE7192">
              <w:rPr>
                <w:sz w:val="24"/>
                <w:szCs w:val="24"/>
              </w:rPr>
              <w:t xml:space="preserve">Preoperative mechanical bowel </w:t>
            </w:r>
            <w:proofErr w:type="spellStart"/>
            <w:r w:rsidR="006703C1" w:rsidRPr="00EE7192">
              <w:rPr>
                <w:sz w:val="24"/>
                <w:szCs w:val="24"/>
              </w:rPr>
              <w:t>prep</w:t>
            </w:r>
            <w:r w:rsidR="006703C1" w:rsidRPr="00EE7192">
              <w:rPr>
                <w:sz w:val="28"/>
                <w:szCs w:val="24"/>
                <w:vertAlign w:val="superscript"/>
              </w:rPr>
              <w:t>a</w:t>
            </w:r>
            <w:proofErr w:type="spellEnd"/>
          </w:p>
        </w:tc>
        <w:tc>
          <w:tcPr>
            <w:tcW w:w="2997" w:type="dxa"/>
          </w:tcPr>
          <w:p w14:paraId="2CB3C4C0" w14:textId="18298F83" w:rsidR="0046472C" w:rsidRPr="00EE7192" w:rsidRDefault="00B36099" w:rsidP="005109A8">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3B80CE7A" w:rsidRPr="217FF934">
              <w:rPr>
                <w:i/>
                <w:iCs/>
                <w:sz w:val="24"/>
                <w:szCs w:val="24"/>
              </w:rPr>
              <w:t xml:space="preserve"> Enter here</w:t>
            </w:r>
          </w:p>
        </w:tc>
        <w:tc>
          <w:tcPr>
            <w:tcW w:w="2743" w:type="dxa"/>
          </w:tcPr>
          <w:p w14:paraId="078FB758" w14:textId="4928FD79" w:rsidR="0046472C" w:rsidRPr="00EE7192" w:rsidRDefault="00B36099" w:rsidP="005109A8">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7F7D75BE" w:rsidRPr="217FF934">
              <w:rPr>
                <w:i/>
                <w:iCs/>
                <w:sz w:val="24"/>
                <w:szCs w:val="24"/>
              </w:rPr>
              <w:t xml:space="preserve"> Enter here</w:t>
            </w:r>
          </w:p>
        </w:tc>
      </w:tr>
      <w:tr w:rsidR="0046472C" w:rsidRPr="00F96809" w14:paraId="05EF3439" w14:textId="77777777" w:rsidTr="5F26565D">
        <w:trPr>
          <w:cantSplit/>
          <w:trHeight w:val="367"/>
        </w:trPr>
        <w:tc>
          <w:tcPr>
            <w:cnfStyle w:val="001000000000" w:firstRow="0" w:lastRow="0" w:firstColumn="1" w:lastColumn="0" w:oddVBand="0" w:evenVBand="0" w:oddHBand="0" w:evenHBand="0" w:firstRowFirstColumn="0" w:firstRowLastColumn="0" w:lastRowFirstColumn="0" w:lastRowLastColumn="0"/>
            <w:tcW w:w="4378" w:type="dxa"/>
            <w:noWrap/>
          </w:tcPr>
          <w:p w14:paraId="5FEF38A7" w14:textId="5AF41AAD" w:rsidR="0046472C" w:rsidRPr="00EE7192" w:rsidRDefault="0046472C" w:rsidP="005109A8">
            <w:pPr>
              <w:pStyle w:val="TableParagraph"/>
              <w:rPr>
                <w:rFonts w:eastAsia="Times New Roman" w:cs="Times New Roman"/>
                <w:b w:val="0"/>
                <w:i/>
                <w:iCs/>
                <w:color w:val="000000"/>
                <w:sz w:val="24"/>
                <w:szCs w:val="24"/>
              </w:rPr>
            </w:pPr>
            <w:r w:rsidRPr="00EE7192">
              <w:rPr>
                <w:sz w:val="24"/>
                <w:szCs w:val="24"/>
              </w:rPr>
              <w:t>Preoperative oral antibiotics (prep)</w:t>
            </w:r>
            <w:r w:rsidR="006703C1" w:rsidRPr="00EE7192">
              <w:rPr>
                <w:sz w:val="28"/>
                <w:szCs w:val="24"/>
                <w:vertAlign w:val="superscript"/>
              </w:rPr>
              <w:t>a</w:t>
            </w:r>
          </w:p>
        </w:tc>
        <w:tc>
          <w:tcPr>
            <w:tcW w:w="2997" w:type="dxa"/>
          </w:tcPr>
          <w:p w14:paraId="775D391A" w14:textId="503882B2" w:rsidR="0046472C" w:rsidRPr="00EE7192" w:rsidRDefault="00B36099" w:rsidP="005109A8">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3D2A8098" w:rsidRPr="217FF934">
              <w:rPr>
                <w:i/>
                <w:iCs/>
                <w:sz w:val="24"/>
                <w:szCs w:val="24"/>
              </w:rPr>
              <w:t xml:space="preserve"> Enter here</w:t>
            </w:r>
          </w:p>
        </w:tc>
        <w:tc>
          <w:tcPr>
            <w:tcW w:w="2743" w:type="dxa"/>
          </w:tcPr>
          <w:p w14:paraId="4E64A3DD" w14:textId="28FB2CBE" w:rsidR="0046472C" w:rsidRPr="00EE7192" w:rsidRDefault="00B36099" w:rsidP="005109A8">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7540F47E" w:rsidRPr="217FF934">
              <w:rPr>
                <w:i/>
                <w:iCs/>
                <w:sz w:val="24"/>
                <w:szCs w:val="24"/>
              </w:rPr>
              <w:t xml:space="preserve"> Enter here</w:t>
            </w:r>
          </w:p>
        </w:tc>
      </w:tr>
      <w:tr w:rsidR="0046472C" w:rsidRPr="00F96809" w14:paraId="6B48DCEA" w14:textId="77777777" w:rsidTr="5F26565D">
        <w:trPr>
          <w:cantSplit/>
          <w:trHeight w:val="367"/>
        </w:trPr>
        <w:tc>
          <w:tcPr>
            <w:cnfStyle w:val="001000000000" w:firstRow="0" w:lastRow="0" w:firstColumn="1" w:lastColumn="0" w:oddVBand="0" w:evenVBand="0" w:oddHBand="0" w:evenHBand="0" w:firstRowFirstColumn="0" w:firstRowLastColumn="0" w:lastRowFirstColumn="0" w:lastRowLastColumn="0"/>
            <w:tcW w:w="4378" w:type="dxa"/>
            <w:noWrap/>
          </w:tcPr>
          <w:p w14:paraId="44B32781" w14:textId="77777777" w:rsidR="0046472C" w:rsidRPr="00CF1750" w:rsidRDefault="0046472C" w:rsidP="005109A8">
            <w:pPr>
              <w:pStyle w:val="TableParagraph"/>
              <w:rPr>
                <w:rFonts w:eastAsia="Times New Roman" w:cs="Times New Roman"/>
                <w:b w:val="0"/>
                <w:i/>
                <w:iCs/>
                <w:color w:val="000000"/>
                <w:sz w:val="24"/>
                <w:szCs w:val="24"/>
              </w:rPr>
            </w:pPr>
            <w:r w:rsidRPr="00CF1750">
              <w:rPr>
                <w:sz w:val="24"/>
                <w:szCs w:val="24"/>
              </w:rPr>
              <w:t>Local wound analgesia</w:t>
            </w:r>
          </w:p>
        </w:tc>
        <w:tc>
          <w:tcPr>
            <w:tcW w:w="2997" w:type="dxa"/>
          </w:tcPr>
          <w:p w14:paraId="27FF4D91" w14:textId="304DE086" w:rsidR="0046472C" w:rsidRPr="00CF1750" w:rsidRDefault="00B36099" w:rsidP="005109A8">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497395F0" w:rsidRPr="217FF934">
              <w:rPr>
                <w:i/>
                <w:iCs/>
                <w:sz w:val="24"/>
                <w:szCs w:val="24"/>
              </w:rPr>
              <w:t xml:space="preserve"> Enter here</w:t>
            </w:r>
          </w:p>
        </w:tc>
        <w:tc>
          <w:tcPr>
            <w:tcW w:w="2743" w:type="dxa"/>
          </w:tcPr>
          <w:p w14:paraId="084F7504" w14:textId="7D547A40" w:rsidR="0046472C" w:rsidRPr="00CF1750" w:rsidRDefault="00B36099" w:rsidP="005109A8">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6CA959B7" w:rsidRPr="217FF934">
              <w:rPr>
                <w:i/>
                <w:iCs/>
                <w:sz w:val="24"/>
                <w:szCs w:val="24"/>
              </w:rPr>
              <w:t xml:space="preserve"> Enter here</w:t>
            </w:r>
          </w:p>
        </w:tc>
      </w:tr>
      <w:tr w:rsidR="00511960" w:rsidRPr="00F96809" w14:paraId="271777F0" w14:textId="77777777" w:rsidTr="5F26565D">
        <w:trPr>
          <w:cantSplit/>
          <w:trHeight w:val="367"/>
        </w:trPr>
        <w:tc>
          <w:tcPr>
            <w:cnfStyle w:val="001000000000" w:firstRow="0" w:lastRow="0" w:firstColumn="1" w:lastColumn="0" w:oddVBand="0" w:evenVBand="0" w:oddHBand="0" w:evenHBand="0" w:firstRowFirstColumn="0" w:firstRowLastColumn="0" w:lastRowFirstColumn="0" w:lastRowLastColumn="0"/>
            <w:tcW w:w="4378" w:type="dxa"/>
            <w:noWrap/>
          </w:tcPr>
          <w:p w14:paraId="3BCC5BB1" w14:textId="51AB092B" w:rsidR="00511960" w:rsidRPr="00CF1750" w:rsidRDefault="00511960" w:rsidP="005109A8">
            <w:pPr>
              <w:pStyle w:val="TableParagraph"/>
              <w:rPr>
                <w:sz w:val="24"/>
                <w:szCs w:val="24"/>
              </w:rPr>
            </w:pPr>
            <w:r w:rsidRPr="00CF1750">
              <w:rPr>
                <w:sz w:val="24"/>
                <w:szCs w:val="24"/>
              </w:rPr>
              <w:t>Other:</w:t>
            </w:r>
          </w:p>
        </w:tc>
        <w:tc>
          <w:tcPr>
            <w:tcW w:w="2997" w:type="dxa"/>
          </w:tcPr>
          <w:p w14:paraId="29E66B2C" w14:textId="74ABA825" w:rsidR="00511960" w:rsidRPr="00CF1750" w:rsidRDefault="00B36099" w:rsidP="005109A8">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17B2D354" w:rsidRPr="217FF934">
              <w:rPr>
                <w:i/>
                <w:iCs/>
                <w:sz w:val="24"/>
                <w:szCs w:val="24"/>
              </w:rPr>
              <w:t xml:space="preserve"> Enter here</w:t>
            </w:r>
          </w:p>
        </w:tc>
        <w:tc>
          <w:tcPr>
            <w:tcW w:w="2743" w:type="dxa"/>
          </w:tcPr>
          <w:p w14:paraId="07AA309C" w14:textId="7B43C9A8" w:rsidR="00511960" w:rsidRPr="00CF1750" w:rsidRDefault="00B36099" w:rsidP="005109A8">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23DF96A8" w:rsidRPr="217FF934">
              <w:rPr>
                <w:i/>
                <w:iCs/>
                <w:sz w:val="24"/>
                <w:szCs w:val="24"/>
              </w:rPr>
              <w:t xml:space="preserve"> Enter here</w:t>
            </w:r>
          </w:p>
        </w:tc>
      </w:tr>
    </w:tbl>
    <w:p w14:paraId="654FDB44" w14:textId="4553191D" w:rsidR="0046472C" w:rsidRPr="00EE7192" w:rsidRDefault="006703C1" w:rsidP="00B47C17">
      <w:pPr>
        <w:pStyle w:val="StyleReference12ptText1"/>
      </w:pPr>
      <w:proofErr w:type="spellStart"/>
      <w:r w:rsidRPr="00EE7192">
        <w:rPr>
          <w:sz w:val="28"/>
          <w:vertAlign w:val="superscript"/>
        </w:rPr>
        <w:t>a</w:t>
      </w:r>
      <w:r w:rsidRPr="00EE7192">
        <w:t>If</w:t>
      </w:r>
      <w:proofErr w:type="spellEnd"/>
      <w:r w:rsidRPr="00EE7192">
        <w:t xml:space="preserve"> </w:t>
      </w:r>
      <w:r w:rsidR="0046472C" w:rsidRPr="00EE7192">
        <w:t>applicable, based on the procedure and patient risk factors</w:t>
      </w:r>
    </w:p>
    <w:tbl>
      <w:tblPr>
        <w:tblStyle w:val="GridTable1Light"/>
        <w:tblW w:w="10133" w:type="dxa"/>
        <w:tblLook w:val="04A0" w:firstRow="1" w:lastRow="0" w:firstColumn="1" w:lastColumn="0" w:noHBand="0" w:noVBand="1"/>
        <w:tblCaption w:val="Additional Orthopedic Process Measures"/>
      </w:tblPr>
      <w:tblGrid>
        <w:gridCol w:w="4405"/>
        <w:gridCol w:w="2935"/>
        <w:gridCol w:w="2793"/>
      </w:tblGrid>
      <w:tr w:rsidR="0046472C" w:rsidRPr="00EE7192" w14:paraId="275E521E" w14:textId="77777777" w:rsidTr="00B47C17">
        <w:trPr>
          <w:cnfStyle w:val="100000000000" w:firstRow="1" w:lastRow="0" w:firstColumn="0" w:lastColumn="0" w:oddVBand="0" w:evenVBand="0" w:oddHBand="0" w:evenHBand="0" w:firstRowFirstColumn="0" w:firstRowLastColumn="0" w:lastRowFirstColumn="0" w:lastRowLastColumn="0"/>
          <w:cantSplit/>
          <w:trHeight w:val="353"/>
          <w:tblHeader/>
        </w:trPr>
        <w:tc>
          <w:tcPr>
            <w:cnfStyle w:val="001000000000" w:firstRow="0" w:lastRow="0" w:firstColumn="1" w:lastColumn="0" w:oddVBand="0" w:evenVBand="0" w:oddHBand="0" w:evenHBand="0" w:firstRowFirstColumn="0" w:firstRowLastColumn="0" w:lastRowFirstColumn="0" w:lastRowLastColumn="0"/>
            <w:tcW w:w="4405" w:type="dxa"/>
            <w:noWrap/>
          </w:tcPr>
          <w:p w14:paraId="4649998B" w14:textId="77777777" w:rsidR="0046472C" w:rsidRPr="00EE7192" w:rsidRDefault="0046472C" w:rsidP="0046472C">
            <w:pPr>
              <w:pStyle w:val="TableParagraph"/>
              <w:rPr>
                <w:sz w:val="28"/>
                <w:szCs w:val="24"/>
              </w:rPr>
            </w:pPr>
            <w:r w:rsidRPr="00EE7192">
              <w:rPr>
                <w:sz w:val="28"/>
                <w:szCs w:val="24"/>
              </w:rPr>
              <w:t>Additional Orthopedic Process Measures</w:t>
            </w:r>
          </w:p>
        </w:tc>
        <w:tc>
          <w:tcPr>
            <w:tcW w:w="2935" w:type="dxa"/>
          </w:tcPr>
          <w:p w14:paraId="10944596" w14:textId="4AD8A826" w:rsidR="0046472C" w:rsidRPr="00EE7192" w:rsidRDefault="006703C1" w:rsidP="0046472C">
            <w:pPr>
              <w:pStyle w:val="TableParagraph"/>
              <w:cnfStyle w:val="100000000000" w:firstRow="1" w:lastRow="0" w:firstColumn="0" w:lastColumn="0" w:oddVBand="0" w:evenVBand="0" w:oddHBand="0" w:evenHBand="0" w:firstRowFirstColumn="0" w:firstRowLastColumn="0" w:lastRowFirstColumn="0" w:lastRowLastColumn="0"/>
              <w:rPr>
                <w:sz w:val="28"/>
                <w:szCs w:val="24"/>
              </w:rPr>
            </w:pPr>
            <w:r w:rsidRPr="00EE7192">
              <w:rPr>
                <w:sz w:val="28"/>
                <w:szCs w:val="24"/>
              </w:rPr>
              <w:t>Relevant Stakeholders</w:t>
            </w:r>
          </w:p>
        </w:tc>
        <w:tc>
          <w:tcPr>
            <w:tcW w:w="2793" w:type="dxa"/>
          </w:tcPr>
          <w:p w14:paraId="233E4809" w14:textId="74B7A89F" w:rsidR="0046472C" w:rsidRPr="00EE7192" w:rsidRDefault="0046472C" w:rsidP="0046472C">
            <w:pPr>
              <w:pStyle w:val="TableParagraph"/>
              <w:cnfStyle w:val="100000000000" w:firstRow="1" w:lastRow="0" w:firstColumn="0" w:lastColumn="0" w:oddVBand="0" w:evenVBand="0" w:oddHBand="0" w:evenHBand="0" w:firstRowFirstColumn="0" w:firstRowLastColumn="0" w:lastRowFirstColumn="0" w:lastRowLastColumn="0"/>
              <w:rPr>
                <w:sz w:val="28"/>
                <w:szCs w:val="24"/>
              </w:rPr>
            </w:pPr>
            <w:r w:rsidRPr="00EE7192">
              <w:rPr>
                <w:sz w:val="28"/>
                <w:szCs w:val="24"/>
              </w:rPr>
              <w:t xml:space="preserve">Approach to </w:t>
            </w:r>
            <w:r w:rsidR="00387EC7" w:rsidRPr="00EE7192">
              <w:rPr>
                <w:sz w:val="28"/>
                <w:szCs w:val="24"/>
              </w:rPr>
              <w:t>Data Sharing</w:t>
            </w:r>
          </w:p>
        </w:tc>
      </w:tr>
      <w:tr w:rsidR="0046472C" w:rsidRPr="00EE7192" w14:paraId="31200047" w14:textId="77777777" w:rsidTr="00B47C17">
        <w:trPr>
          <w:cantSplit/>
          <w:trHeight w:val="353"/>
        </w:trPr>
        <w:tc>
          <w:tcPr>
            <w:cnfStyle w:val="001000000000" w:firstRow="0" w:lastRow="0" w:firstColumn="1" w:lastColumn="0" w:oddVBand="0" w:evenVBand="0" w:oddHBand="0" w:evenHBand="0" w:firstRowFirstColumn="0" w:firstRowLastColumn="0" w:lastRowFirstColumn="0" w:lastRowLastColumn="0"/>
            <w:tcW w:w="4405" w:type="dxa"/>
            <w:noWrap/>
          </w:tcPr>
          <w:p w14:paraId="6881225C" w14:textId="080C2BC0" w:rsidR="0046472C" w:rsidRPr="00EE7192" w:rsidRDefault="0046472C" w:rsidP="005109A8">
            <w:pPr>
              <w:pStyle w:val="TableParagraph"/>
              <w:rPr>
                <w:b w:val="0"/>
                <w:sz w:val="24"/>
                <w:szCs w:val="24"/>
              </w:rPr>
            </w:pPr>
            <w:r w:rsidRPr="00EE7192">
              <w:rPr>
                <w:sz w:val="24"/>
                <w:szCs w:val="24"/>
              </w:rPr>
              <w:t xml:space="preserve">Intraoperative </w:t>
            </w:r>
            <w:r w:rsidR="00633C34" w:rsidRPr="00EE7192">
              <w:rPr>
                <w:sz w:val="24"/>
                <w:szCs w:val="24"/>
              </w:rPr>
              <w:t>tr</w:t>
            </w:r>
            <w:r w:rsidRPr="00EE7192">
              <w:rPr>
                <w:sz w:val="24"/>
                <w:szCs w:val="24"/>
              </w:rPr>
              <w:t xml:space="preserve">anexamic </w:t>
            </w:r>
            <w:r w:rsidR="00CC6762" w:rsidRPr="00EE7192">
              <w:rPr>
                <w:sz w:val="24"/>
                <w:szCs w:val="24"/>
              </w:rPr>
              <w:t>a</w:t>
            </w:r>
            <w:r w:rsidRPr="00EE7192">
              <w:rPr>
                <w:sz w:val="24"/>
                <w:szCs w:val="24"/>
              </w:rPr>
              <w:t xml:space="preserve">cid </w:t>
            </w:r>
            <w:r w:rsidR="00CC6762" w:rsidRPr="00EE7192">
              <w:rPr>
                <w:sz w:val="24"/>
                <w:szCs w:val="24"/>
              </w:rPr>
              <w:t>u</w:t>
            </w:r>
            <w:r w:rsidRPr="00EE7192">
              <w:rPr>
                <w:sz w:val="24"/>
                <w:szCs w:val="24"/>
              </w:rPr>
              <w:t>se</w:t>
            </w:r>
          </w:p>
        </w:tc>
        <w:tc>
          <w:tcPr>
            <w:tcW w:w="2935" w:type="dxa"/>
          </w:tcPr>
          <w:p w14:paraId="4A0B573C" w14:textId="01C8A361" w:rsidR="0046472C" w:rsidRPr="00EE7192" w:rsidRDefault="00B36099" w:rsidP="5F26565D">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5F26565D">
              <w:rPr>
                <w:i/>
                <w:iCs/>
              </w:rPr>
              <w:t>-</w:t>
            </w:r>
            <w:r w:rsidR="00CF1750">
              <w:t xml:space="preserve"> </w:t>
            </w:r>
            <w:r w:rsidR="7667C83E" w:rsidRPr="5F26565D">
              <w:rPr>
                <w:i/>
                <w:iCs/>
                <w:sz w:val="24"/>
                <w:szCs w:val="24"/>
              </w:rPr>
              <w:t xml:space="preserve"> Enter here</w:t>
            </w:r>
          </w:p>
          <w:p w14:paraId="3D101EFB" w14:textId="2090CD7F" w:rsidR="0046472C" w:rsidRPr="00EE7192" w:rsidRDefault="0046472C" w:rsidP="5F26565D">
            <w:pPr>
              <w:pStyle w:val="TableParagraph"/>
              <w:cnfStyle w:val="000000000000" w:firstRow="0" w:lastRow="0" w:firstColumn="0" w:lastColumn="0" w:oddVBand="0" w:evenVBand="0" w:oddHBand="0" w:evenHBand="0" w:firstRowFirstColumn="0" w:firstRowLastColumn="0" w:lastRowFirstColumn="0" w:lastRowLastColumn="0"/>
              <w:rPr>
                <w:i/>
                <w:iCs/>
              </w:rPr>
            </w:pPr>
          </w:p>
        </w:tc>
        <w:tc>
          <w:tcPr>
            <w:tcW w:w="2793" w:type="dxa"/>
          </w:tcPr>
          <w:p w14:paraId="61D3FD9F" w14:textId="093073A5" w:rsidR="0046472C" w:rsidRPr="00EE7192" w:rsidRDefault="00B36099" w:rsidP="5F26565D">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5F26565D">
              <w:rPr>
                <w:i/>
                <w:iCs/>
              </w:rPr>
              <w:t>-</w:t>
            </w:r>
            <w:r w:rsidR="00CF1750">
              <w:t xml:space="preserve"> </w:t>
            </w:r>
            <w:r w:rsidR="3972C8B6" w:rsidRPr="5F26565D">
              <w:rPr>
                <w:i/>
                <w:iCs/>
                <w:sz w:val="24"/>
                <w:szCs w:val="24"/>
              </w:rPr>
              <w:t xml:space="preserve"> Enter here</w:t>
            </w:r>
          </w:p>
          <w:p w14:paraId="2E814AD1" w14:textId="00A4EA98" w:rsidR="0046472C" w:rsidRPr="00EE7192" w:rsidRDefault="0046472C" w:rsidP="5F26565D">
            <w:pPr>
              <w:pStyle w:val="TableParagraph"/>
              <w:cnfStyle w:val="000000000000" w:firstRow="0" w:lastRow="0" w:firstColumn="0" w:lastColumn="0" w:oddVBand="0" w:evenVBand="0" w:oddHBand="0" w:evenHBand="0" w:firstRowFirstColumn="0" w:firstRowLastColumn="0" w:lastRowFirstColumn="0" w:lastRowLastColumn="0"/>
              <w:rPr>
                <w:i/>
                <w:iCs/>
              </w:rPr>
            </w:pPr>
          </w:p>
        </w:tc>
      </w:tr>
      <w:tr w:rsidR="0046472C" w:rsidRPr="00EE7192" w14:paraId="7271F94B" w14:textId="77777777" w:rsidTr="00B47C17">
        <w:trPr>
          <w:cantSplit/>
          <w:trHeight w:val="382"/>
        </w:trPr>
        <w:tc>
          <w:tcPr>
            <w:cnfStyle w:val="001000000000" w:firstRow="0" w:lastRow="0" w:firstColumn="1" w:lastColumn="0" w:oddVBand="0" w:evenVBand="0" w:oddHBand="0" w:evenHBand="0" w:firstRowFirstColumn="0" w:firstRowLastColumn="0" w:lastRowFirstColumn="0" w:lastRowLastColumn="0"/>
            <w:tcW w:w="4405" w:type="dxa"/>
            <w:noWrap/>
          </w:tcPr>
          <w:p w14:paraId="33B78128" w14:textId="666E4BE9" w:rsidR="0046472C" w:rsidRPr="00EE7192" w:rsidRDefault="0046472C" w:rsidP="005109A8">
            <w:pPr>
              <w:pStyle w:val="TableParagraph"/>
              <w:rPr>
                <w:b w:val="0"/>
                <w:sz w:val="24"/>
                <w:szCs w:val="24"/>
              </w:rPr>
            </w:pPr>
            <w:r w:rsidRPr="00EE7192">
              <w:rPr>
                <w:sz w:val="24"/>
                <w:szCs w:val="24"/>
              </w:rPr>
              <w:t xml:space="preserve">VTE </w:t>
            </w:r>
            <w:r w:rsidR="00CC6762" w:rsidRPr="00EE7192">
              <w:rPr>
                <w:sz w:val="24"/>
                <w:szCs w:val="24"/>
              </w:rPr>
              <w:t>p</w:t>
            </w:r>
            <w:r w:rsidRPr="00EE7192">
              <w:rPr>
                <w:sz w:val="24"/>
                <w:szCs w:val="24"/>
              </w:rPr>
              <w:t xml:space="preserve">rophylaxis for 28 </w:t>
            </w:r>
            <w:r w:rsidR="00CC6762" w:rsidRPr="00EE7192">
              <w:rPr>
                <w:sz w:val="24"/>
                <w:szCs w:val="24"/>
              </w:rPr>
              <w:t>d</w:t>
            </w:r>
            <w:r w:rsidRPr="00EE7192">
              <w:rPr>
                <w:sz w:val="24"/>
                <w:szCs w:val="24"/>
              </w:rPr>
              <w:t xml:space="preserve">ays </w:t>
            </w:r>
            <w:r w:rsidR="00CC6762" w:rsidRPr="00EE7192">
              <w:rPr>
                <w:sz w:val="24"/>
                <w:szCs w:val="24"/>
              </w:rPr>
              <w:t>p</w:t>
            </w:r>
            <w:r w:rsidRPr="00EE7192">
              <w:rPr>
                <w:sz w:val="24"/>
                <w:szCs w:val="24"/>
              </w:rPr>
              <w:t>ostop</w:t>
            </w:r>
          </w:p>
        </w:tc>
        <w:tc>
          <w:tcPr>
            <w:tcW w:w="2935" w:type="dxa"/>
          </w:tcPr>
          <w:p w14:paraId="21E29B72" w14:textId="37AD7E0C" w:rsidR="0046472C" w:rsidRPr="00EE7192" w:rsidRDefault="00B36099" w:rsidP="005109A8">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317C099C" w:rsidRPr="217FF934">
              <w:rPr>
                <w:i/>
                <w:iCs/>
                <w:sz w:val="24"/>
                <w:szCs w:val="24"/>
              </w:rPr>
              <w:t xml:space="preserve"> Enter here</w:t>
            </w:r>
          </w:p>
        </w:tc>
        <w:tc>
          <w:tcPr>
            <w:tcW w:w="2793" w:type="dxa"/>
          </w:tcPr>
          <w:p w14:paraId="0D723BEF" w14:textId="60DA7FFA" w:rsidR="0046472C" w:rsidRPr="00EE7192" w:rsidRDefault="00B36099" w:rsidP="005109A8">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34E4D9B0" w:rsidRPr="217FF934">
              <w:rPr>
                <w:i/>
                <w:iCs/>
                <w:sz w:val="24"/>
                <w:szCs w:val="24"/>
              </w:rPr>
              <w:t xml:space="preserve"> Enter here</w:t>
            </w:r>
          </w:p>
        </w:tc>
      </w:tr>
      <w:tr w:rsidR="00511960" w:rsidRPr="00EE7192" w14:paraId="0CC5E375" w14:textId="77777777" w:rsidTr="00B47C17">
        <w:trPr>
          <w:cantSplit/>
          <w:trHeight w:val="382"/>
        </w:trPr>
        <w:tc>
          <w:tcPr>
            <w:cnfStyle w:val="001000000000" w:firstRow="0" w:lastRow="0" w:firstColumn="1" w:lastColumn="0" w:oddVBand="0" w:evenVBand="0" w:oddHBand="0" w:evenHBand="0" w:firstRowFirstColumn="0" w:firstRowLastColumn="0" w:lastRowFirstColumn="0" w:lastRowLastColumn="0"/>
            <w:tcW w:w="4405" w:type="dxa"/>
            <w:noWrap/>
          </w:tcPr>
          <w:p w14:paraId="21682072" w14:textId="5553B58C" w:rsidR="00511960" w:rsidRPr="00EE7192" w:rsidRDefault="00511960" w:rsidP="005109A8">
            <w:pPr>
              <w:pStyle w:val="TableParagraph"/>
              <w:rPr>
                <w:sz w:val="24"/>
                <w:szCs w:val="24"/>
              </w:rPr>
            </w:pPr>
            <w:r w:rsidRPr="00EE7192">
              <w:rPr>
                <w:sz w:val="24"/>
                <w:szCs w:val="24"/>
              </w:rPr>
              <w:t>Other:</w:t>
            </w:r>
          </w:p>
        </w:tc>
        <w:tc>
          <w:tcPr>
            <w:tcW w:w="2935" w:type="dxa"/>
          </w:tcPr>
          <w:p w14:paraId="32B16931" w14:textId="6C04BC5F" w:rsidR="00511960" w:rsidRPr="00EE7192" w:rsidRDefault="00B36099" w:rsidP="005109A8">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364B038B" w:rsidRPr="217FF934">
              <w:rPr>
                <w:i/>
                <w:iCs/>
                <w:sz w:val="24"/>
                <w:szCs w:val="24"/>
              </w:rPr>
              <w:t xml:space="preserve"> Enter here</w:t>
            </w:r>
          </w:p>
        </w:tc>
        <w:tc>
          <w:tcPr>
            <w:tcW w:w="2793" w:type="dxa"/>
          </w:tcPr>
          <w:p w14:paraId="5B1D43FB" w14:textId="07931588" w:rsidR="00511960" w:rsidRPr="00EE7192" w:rsidRDefault="00B36099" w:rsidP="005109A8">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53B82BB2" w:rsidRPr="217FF934">
              <w:rPr>
                <w:i/>
                <w:iCs/>
                <w:sz w:val="24"/>
                <w:szCs w:val="24"/>
              </w:rPr>
              <w:t xml:space="preserve"> Enter here</w:t>
            </w:r>
          </w:p>
        </w:tc>
      </w:tr>
    </w:tbl>
    <w:p w14:paraId="44D0F411" w14:textId="77777777" w:rsidR="0046472C" w:rsidRDefault="00A05BEA" w:rsidP="00EE7192">
      <w:pPr>
        <w:pStyle w:val="Section1title"/>
        <w:spacing w:after="120"/>
      </w:pPr>
      <w:r w:rsidRPr="007D180B">
        <w:lastRenderedPageBreak/>
        <w:t>Outcome Measures</w:t>
      </w:r>
    </w:p>
    <w:tbl>
      <w:tblPr>
        <w:tblStyle w:val="GridTable1Light"/>
        <w:tblW w:w="10148" w:type="dxa"/>
        <w:tblLook w:val="04A0" w:firstRow="1" w:lastRow="0" w:firstColumn="1" w:lastColumn="0" w:noHBand="0" w:noVBand="1"/>
        <w:tblCaption w:val="Engaging Frontline Staff with ISCR Process and Outcome Data"/>
      </w:tblPr>
      <w:tblGrid>
        <w:gridCol w:w="3907"/>
        <w:gridCol w:w="2942"/>
        <w:gridCol w:w="3299"/>
      </w:tblGrid>
      <w:tr w:rsidR="007D180B" w:rsidRPr="00F96809" w14:paraId="68907562" w14:textId="77777777" w:rsidTr="5F26565D">
        <w:trPr>
          <w:cnfStyle w:val="100000000000" w:firstRow="1" w:lastRow="0" w:firstColumn="0" w:lastColumn="0" w:oddVBand="0" w:evenVBand="0" w:oddHBand="0" w:evenHBand="0" w:firstRowFirstColumn="0" w:firstRowLastColumn="0" w:lastRowFirstColumn="0" w:lastRowLastColumn="0"/>
          <w:cantSplit/>
          <w:trHeight w:val="321"/>
          <w:tblHeader/>
        </w:trPr>
        <w:tc>
          <w:tcPr>
            <w:cnfStyle w:val="001000000000" w:firstRow="0" w:lastRow="0" w:firstColumn="1" w:lastColumn="0" w:oddVBand="0" w:evenVBand="0" w:oddHBand="0" w:evenHBand="0" w:firstRowFirstColumn="0" w:firstRowLastColumn="0" w:lastRowFirstColumn="0" w:lastRowLastColumn="0"/>
            <w:tcW w:w="3907" w:type="dxa"/>
            <w:noWrap/>
          </w:tcPr>
          <w:p w14:paraId="1F300CDD" w14:textId="77777777" w:rsidR="007D180B" w:rsidRPr="00FA0A8B" w:rsidRDefault="007D180B" w:rsidP="0012395E">
            <w:pPr>
              <w:pStyle w:val="Section2Title"/>
              <w:rPr>
                <w:i/>
                <w:szCs w:val="24"/>
              </w:rPr>
            </w:pPr>
            <w:r w:rsidRPr="00FA0A8B">
              <w:rPr>
                <w:b/>
                <w:bCs/>
                <w:szCs w:val="24"/>
              </w:rPr>
              <w:t>Sample Outcome Measures</w:t>
            </w:r>
          </w:p>
        </w:tc>
        <w:tc>
          <w:tcPr>
            <w:tcW w:w="2942" w:type="dxa"/>
          </w:tcPr>
          <w:p w14:paraId="116A4837" w14:textId="186F3DC2" w:rsidR="007D180B" w:rsidRPr="00FA0A8B" w:rsidRDefault="006703C1" w:rsidP="0012395E">
            <w:pPr>
              <w:pStyle w:val="Section2Title"/>
              <w:cnfStyle w:val="100000000000" w:firstRow="1" w:lastRow="0" w:firstColumn="0" w:lastColumn="0" w:oddVBand="0" w:evenVBand="0" w:oddHBand="0" w:evenHBand="0" w:firstRowFirstColumn="0" w:firstRowLastColumn="0" w:lastRowFirstColumn="0" w:lastRowLastColumn="0"/>
              <w:rPr>
                <w:i/>
                <w:szCs w:val="24"/>
              </w:rPr>
            </w:pPr>
            <w:r w:rsidRPr="00FA0A8B">
              <w:rPr>
                <w:b/>
                <w:bCs/>
                <w:szCs w:val="24"/>
              </w:rPr>
              <w:t>Relevant Stakeholders</w:t>
            </w:r>
          </w:p>
        </w:tc>
        <w:tc>
          <w:tcPr>
            <w:tcW w:w="3299" w:type="dxa"/>
          </w:tcPr>
          <w:p w14:paraId="356115DC" w14:textId="6E63DA7C" w:rsidR="007D180B" w:rsidRPr="00FA0A8B" w:rsidRDefault="007D180B" w:rsidP="0012395E">
            <w:pPr>
              <w:pStyle w:val="Section2Title"/>
              <w:cnfStyle w:val="100000000000" w:firstRow="1" w:lastRow="0" w:firstColumn="0" w:lastColumn="0" w:oddVBand="0" w:evenVBand="0" w:oddHBand="0" w:evenHBand="0" w:firstRowFirstColumn="0" w:firstRowLastColumn="0" w:lastRowFirstColumn="0" w:lastRowLastColumn="0"/>
              <w:rPr>
                <w:i/>
                <w:szCs w:val="24"/>
              </w:rPr>
            </w:pPr>
            <w:r w:rsidRPr="00FA0A8B">
              <w:rPr>
                <w:b/>
                <w:bCs/>
                <w:szCs w:val="24"/>
              </w:rPr>
              <w:t xml:space="preserve">Approach to </w:t>
            </w:r>
            <w:r w:rsidR="00387EC7" w:rsidRPr="00FA0A8B">
              <w:rPr>
                <w:b/>
                <w:bCs/>
                <w:szCs w:val="24"/>
              </w:rPr>
              <w:t>D</w:t>
            </w:r>
            <w:r w:rsidRPr="00FA0A8B">
              <w:rPr>
                <w:b/>
                <w:bCs/>
                <w:szCs w:val="24"/>
              </w:rPr>
              <w:t xml:space="preserve">ata </w:t>
            </w:r>
            <w:r w:rsidR="00387EC7" w:rsidRPr="00FA0A8B">
              <w:rPr>
                <w:b/>
                <w:bCs/>
                <w:szCs w:val="24"/>
              </w:rPr>
              <w:t>S</w:t>
            </w:r>
            <w:r w:rsidRPr="00FA0A8B">
              <w:rPr>
                <w:b/>
                <w:bCs/>
                <w:szCs w:val="24"/>
              </w:rPr>
              <w:t>haring</w:t>
            </w:r>
          </w:p>
        </w:tc>
      </w:tr>
      <w:tr w:rsidR="007D180B" w:rsidRPr="00EE7192" w14:paraId="28E28D42" w14:textId="77777777" w:rsidTr="5F26565D">
        <w:trPr>
          <w:cantSplit/>
          <w:trHeight w:val="1027"/>
        </w:trPr>
        <w:tc>
          <w:tcPr>
            <w:cnfStyle w:val="001000000000" w:firstRow="0" w:lastRow="0" w:firstColumn="1" w:lastColumn="0" w:oddVBand="0" w:evenVBand="0" w:oddHBand="0" w:evenHBand="0" w:firstRowFirstColumn="0" w:firstRowLastColumn="0" w:lastRowFirstColumn="0" w:lastRowLastColumn="0"/>
            <w:tcW w:w="3907" w:type="dxa"/>
            <w:noWrap/>
          </w:tcPr>
          <w:p w14:paraId="16161928" w14:textId="3EF05C8D" w:rsidR="007D180B" w:rsidRPr="00EE7192" w:rsidRDefault="007D180B" w:rsidP="00633C34">
            <w:pPr>
              <w:pStyle w:val="TableParagraph"/>
              <w:rPr>
                <w:b w:val="0"/>
                <w:sz w:val="24"/>
                <w:szCs w:val="24"/>
              </w:rPr>
            </w:pPr>
            <w:bookmarkStart w:id="2" w:name="_Hlk110860673"/>
            <w:r w:rsidRPr="00EE7192">
              <w:rPr>
                <w:i/>
                <w:sz w:val="24"/>
                <w:szCs w:val="24"/>
              </w:rPr>
              <w:t>Example: Surgical site infection</w:t>
            </w:r>
          </w:p>
        </w:tc>
        <w:tc>
          <w:tcPr>
            <w:tcW w:w="2942" w:type="dxa"/>
          </w:tcPr>
          <w:p w14:paraId="68CFC881" w14:textId="77777777" w:rsidR="007D180B" w:rsidRPr="00EE7192" w:rsidRDefault="007D180B"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EE7192">
              <w:rPr>
                <w:i/>
                <w:sz w:val="24"/>
                <w:szCs w:val="24"/>
              </w:rPr>
              <w:t>Ex: Surgeons, inpatient nurses, anesthesia colleagues</w:t>
            </w:r>
          </w:p>
        </w:tc>
        <w:tc>
          <w:tcPr>
            <w:tcW w:w="3299" w:type="dxa"/>
          </w:tcPr>
          <w:p w14:paraId="064BE6D1" w14:textId="77777777" w:rsidR="007D180B" w:rsidRPr="00EE7192" w:rsidRDefault="007D180B"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EE7192">
              <w:rPr>
                <w:i/>
                <w:sz w:val="24"/>
                <w:szCs w:val="24"/>
              </w:rPr>
              <w:t>Ex: Friday morning huddle in the OR</w:t>
            </w:r>
          </w:p>
        </w:tc>
      </w:tr>
      <w:bookmarkEnd w:id="2"/>
      <w:tr w:rsidR="00A86174" w:rsidRPr="00EE7192" w14:paraId="0BA14D29" w14:textId="77777777" w:rsidTr="5F26565D">
        <w:trPr>
          <w:cantSplit/>
          <w:trHeight w:val="333"/>
        </w:trPr>
        <w:tc>
          <w:tcPr>
            <w:cnfStyle w:val="001000000000" w:firstRow="0" w:lastRow="0" w:firstColumn="1" w:lastColumn="0" w:oddVBand="0" w:evenVBand="0" w:oddHBand="0" w:evenHBand="0" w:firstRowFirstColumn="0" w:firstRowLastColumn="0" w:lastRowFirstColumn="0" w:lastRowLastColumn="0"/>
            <w:tcW w:w="3907" w:type="dxa"/>
            <w:noWrap/>
          </w:tcPr>
          <w:p w14:paraId="1099C948" w14:textId="77777777" w:rsidR="00A86174" w:rsidRPr="00EE7192" w:rsidRDefault="00A86174" w:rsidP="0013185D">
            <w:pPr>
              <w:pStyle w:val="TableParagraph"/>
              <w:rPr>
                <w:b w:val="0"/>
                <w:sz w:val="24"/>
                <w:szCs w:val="24"/>
              </w:rPr>
            </w:pPr>
            <w:proofErr w:type="spellStart"/>
            <w:r w:rsidRPr="00EE7192">
              <w:rPr>
                <w:sz w:val="24"/>
                <w:szCs w:val="24"/>
              </w:rPr>
              <w:t>Intraop</w:t>
            </w:r>
            <w:proofErr w:type="spellEnd"/>
            <w:r w:rsidRPr="00EE7192">
              <w:rPr>
                <w:sz w:val="24"/>
                <w:szCs w:val="24"/>
              </w:rPr>
              <w:t xml:space="preserve"> transfusion of packed red blood cells</w:t>
            </w:r>
          </w:p>
        </w:tc>
        <w:tc>
          <w:tcPr>
            <w:tcW w:w="2942" w:type="dxa"/>
          </w:tcPr>
          <w:p w14:paraId="63E22462" w14:textId="22D12549" w:rsidR="00A86174" w:rsidRPr="00EE7192" w:rsidRDefault="33478680" w:rsidP="5F26565D">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5F26565D">
              <w:rPr>
                <w:sz w:val="24"/>
                <w:szCs w:val="24"/>
              </w:rPr>
              <w:t>-</w:t>
            </w:r>
            <w:r w:rsidR="6A54DF47" w:rsidRPr="5F26565D">
              <w:rPr>
                <w:i/>
                <w:iCs/>
                <w:sz w:val="24"/>
                <w:szCs w:val="24"/>
              </w:rPr>
              <w:t xml:space="preserve"> Enter here</w:t>
            </w:r>
          </w:p>
          <w:p w14:paraId="76CB84BA" w14:textId="44532AAB" w:rsidR="00A86174" w:rsidRPr="00EE7192" w:rsidRDefault="00A86174" w:rsidP="5F26565D">
            <w:pPr>
              <w:pStyle w:val="TableParagraph"/>
              <w:cnfStyle w:val="000000000000" w:firstRow="0" w:lastRow="0" w:firstColumn="0" w:lastColumn="0" w:oddVBand="0" w:evenVBand="0" w:oddHBand="0" w:evenHBand="0" w:firstRowFirstColumn="0" w:firstRowLastColumn="0" w:lastRowFirstColumn="0" w:lastRowLastColumn="0"/>
              <w:rPr>
                <w:i/>
                <w:iCs/>
                <w:sz w:val="24"/>
                <w:szCs w:val="24"/>
              </w:rPr>
            </w:pPr>
          </w:p>
        </w:tc>
        <w:tc>
          <w:tcPr>
            <w:tcW w:w="3299" w:type="dxa"/>
          </w:tcPr>
          <w:p w14:paraId="154A2FD2" w14:textId="5281424B" w:rsidR="00A86174" w:rsidRPr="00A86174" w:rsidRDefault="33478680" w:rsidP="5F26565D">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00C849CD">
              <w:rPr>
                <w:i/>
                <w:iCs/>
                <w:sz w:val="24"/>
                <w:szCs w:val="24"/>
              </w:rPr>
              <w:t>-</w:t>
            </w:r>
            <w:r w:rsidR="49E1610D" w:rsidRPr="5F26565D">
              <w:rPr>
                <w:i/>
                <w:iCs/>
                <w:sz w:val="24"/>
                <w:szCs w:val="24"/>
              </w:rPr>
              <w:t xml:space="preserve"> Enter here</w:t>
            </w:r>
          </w:p>
          <w:p w14:paraId="78AFCEE6" w14:textId="78E14DA1" w:rsidR="00A86174" w:rsidRPr="00C849CD" w:rsidRDefault="00A86174" w:rsidP="5F26565D">
            <w:pPr>
              <w:pStyle w:val="TableParagraph"/>
              <w:cnfStyle w:val="000000000000" w:firstRow="0" w:lastRow="0" w:firstColumn="0" w:lastColumn="0" w:oddVBand="0" w:evenVBand="0" w:oddHBand="0" w:evenHBand="0" w:firstRowFirstColumn="0" w:firstRowLastColumn="0" w:lastRowFirstColumn="0" w:lastRowLastColumn="0"/>
              <w:rPr>
                <w:i/>
                <w:iCs/>
                <w:sz w:val="24"/>
                <w:szCs w:val="24"/>
              </w:rPr>
            </w:pPr>
          </w:p>
        </w:tc>
      </w:tr>
      <w:tr w:rsidR="007D180B" w:rsidRPr="00EE7192" w14:paraId="53781A87" w14:textId="77777777" w:rsidTr="5F26565D">
        <w:trPr>
          <w:cantSplit/>
          <w:trHeight w:val="321"/>
        </w:trPr>
        <w:tc>
          <w:tcPr>
            <w:cnfStyle w:val="001000000000" w:firstRow="0" w:lastRow="0" w:firstColumn="1" w:lastColumn="0" w:oddVBand="0" w:evenVBand="0" w:oddHBand="0" w:evenHBand="0" w:firstRowFirstColumn="0" w:firstRowLastColumn="0" w:lastRowFirstColumn="0" w:lastRowLastColumn="0"/>
            <w:tcW w:w="3907" w:type="dxa"/>
            <w:noWrap/>
            <w:hideMark/>
          </w:tcPr>
          <w:p w14:paraId="1651F2B3" w14:textId="7EA107D3" w:rsidR="007D180B" w:rsidRPr="00EE7192" w:rsidRDefault="007D180B" w:rsidP="007D180B">
            <w:pPr>
              <w:pStyle w:val="TableParagraph"/>
              <w:rPr>
                <w:b w:val="0"/>
                <w:sz w:val="24"/>
                <w:szCs w:val="24"/>
              </w:rPr>
            </w:pPr>
            <w:r w:rsidRPr="00EE7192">
              <w:rPr>
                <w:sz w:val="24"/>
                <w:szCs w:val="24"/>
              </w:rPr>
              <w:t xml:space="preserve">Surgical site </w:t>
            </w:r>
            <w:proofErr w:type="spellStart"/>
            <w:r w:rsidRPr="00EE7192">
              <w:rPr>
                <w:sz w:val="24"/>
                <w:szCs w:val="24"/>
              </w:rPr>
              <w:t>infection</w:t>
            </w:r>
            <w:r w:rsidR="00F60984" w:rsidRPr="00EE7192">
              <w:rPr>
                <w:sz w:val="28"/>
                <w:szCs w:val="24"/>
                <w:vertAlign w:val="superscript"/>
              </w:rPr>
              <w:t>a</w:t>
            </w:r>
            <w:proofErr w:type="spellEnd"/>
          </w:p>
        </w:tc>
        <w:tc>
          <w:tcPr>
            <w:tcW w:w="2942" w:type="dxa"/>
          </w:tcPr>
          <w:p w14:paraId="60D868B5" w14:textId="4897011C" w:rsidR="007D180B" w:rsidRPr="00EE7192" w:rsidRDefault="75C3C3E2"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3C12432D" w:rsidRPr="217FF934">
              <w:rPr>
                <w:i/>
                <w:iCs/>
                <w:sz w:val="24"/>
                <w:szCs w:val="24"/>
              </w:rPr>
              <w:t xml:space="preserve"> Enter here</w:t>
            </w:r>
          </w:p>
        </w:tc>
        <w:tc>
          <w:tcPr>
            <w:tcW w:w="3299" w:type="dxa"/>
          </w:tcPr>
          <w:p w14:paraId="6935E3FC" w14:textId="05CF2084"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i/>
                <w:iCs/>
              </w:rPr>
              <w:t>-</w:t>
            </w:r>
            <w:r w:rsidR="00CF1750">
              <w:t xml:space="preserve"> </w:t>
            </w:r>
            <w:r w:rsidR="48CD3BD5" w:rsidRPr="217FF934">
              <w:rPr>
                <w:i/>
                <w:iCs/>
                <w:sz w:val="24"/>
                <w:szCs w:val="24"/>
              </w:rPr>
              <w:t>Enter here</w:t>
            </w:r>
          </w:p>
        </w:tc>
      </w:tr>
      <w:tr w:rsidR="007D180B" w:rsidRPr="00F96809" w14:paraId="3AF5C4EE" w14:textId="77777777" w:rsidTr="5F26565D">
        <w:trPr>
          <w:cantSplit/>
          <w:trHeight w:val="321"/>
        </w:trPr>
        <w:tc>
          <w:tcPr>
            <w:cnfStyle w:val="001000000000" w:firstRow="0" w:lastRow="0" w:firstColumn="1" w:lastColumn="0" w:oddVBand="0" w:evenVBand="0" w:oddHBand="0" w:evenHBand="0" w:firstRowFirstColumn="0" w:firstRowLastColumn="0" w:lastRowFirstColumn="0" w:lastRowLastColumn="0"/>
            <w:tcW w:w="3907" w:type="dxa"/>
            <w:noWrap/>
            <w:hideMark/>
          </w:tcPr>
          <w:p w14:paraId="419EA108" w14:textId="02B62D61" w:rsidR="007D180B" w:rsidRPr="00EE7192" w:rsidRDefault="007D180B" w:rsidP="007D180B">
            <w:pPr>
              <w:pStyle w:val="TableParagraph"/>
              <w:rPr>
                <w:b w:val="0"/>
                <w:sz w:val="24"/>
                <w:szCs w:val="24"/>
              </w:rPr>
            </w:pPr>
            <w:r w:rsidRPr="00EE7192">
              <w:rPr>
                <w:sz w:val="24"/>
                <w:szCs w:val="24"/>
              </w:rPr>
              <w:t xml:space="preserve">Urinary tract </w:t>
            </w:r>
            <w:proofErr w:type="spellStart"/>
            <w:r w:rsidRPr="00EE7192">
              <w:rPr>
                <w:sz w:val="24"/>
                <w:szCs w:val="24"/>
              </w:rPr>
              <w:t>infection</w:t>
            </w:r>
            <w:r w:rsidR="00F60984" w:rsidRPr="00EE7192">
              <w:rPr>
                <w:sz w:val="28"/>
                <w:szCs w:val="24"/>
                <w:vertAlign w:val="superscript"/>
              </w:rPr>
              <w:t>a</w:t>
            </w:r>
            <w:proofErr w:type="spellEnd"/>
          </w:p>
        </w:tc>
        <w:tc>
          <w:tcPr>
            <w:tcW w:w="2942" w:type="dxa"/>
          </w:tcPr>
          <w:p w14:paraId="7D9490A3" w14:textId="2B26EAAA"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751AE7F8" w:rsidRPr="217FF934">
              <w:rPr>
                <w:i/>
                <w:iCs/>
                <w:sz w:val="24"/>
                <w:szCs w:val="24"/>
              </w:rPr>
              <w:t xml:space="preserve"> Enter here</w:t>
            </w:r>
          </w:p>
        </w:tc>
        <w:tc>
          <w:tcPr>
            <w:tcW w:w="3299" w:type="dxa"/>
          </w:tcPr>
          <w:p w14:paraId="477DAA29" w14:textId="7AADEC5A"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28FF8C74" w:rsidRPr="217FF934">
              <w:rPr>
                <w:i/>
                <w:iCs/>
                <w:sz w:val="24"/>
                <w:szCs w:val="24"/>
              </w:rPr>
              <w:t xml:space="preserve"> Enter here</w:t>
            </w:r>
          </w:p>
        </w:tc>
      </w:tr>
      <w:tr w:rsidR="007D180B" w:rsidRPr="00F96809" w14:paraId="2C317459" w14:textId="77777777" w:rsidTr="5F26565D">
        <w:trPr>
          <w:cantSplit/>
          <w:trHeight w:val="333"/>
        </w:trPr>
        <w:tc>
          <w:tcPr>
            <w:cnfStyle w:val="001000000000" w:firstRow="0" w:lastRow="0" w:firstColumn="1" w:lastColumn="0" w:oddVBand="0" w:evenVBand="0" w:oddHBand="0" w:evenHBand="0" w:firstRowFirstColumn="0" w:firstRowLastColumn="0" w:lastRowFirstColumn="0" w:lastRowLastColumn="0"/>
            <w:tcW w:w="3907" w:type="dxa"/>
            <w:noWrap/>
            <w:hideMark/>
          </w:tcPr>
          <w:p w14:paraId="0190B6BB" w14:textId="21F7A24E" w:rsidR="007D180B" w:rsidRPr="00CF1750" w:rsidRDefault="007D180B" w:rsidP="007D180B">
            <w:pPr>
              <w:pStyle w:val="TableParagraph"/>
              <w:rPr>
                <w:b w:val="0"/>
                <w:sz w:val="24"/>
                <w:szCs w:val="24"/>
              </w:rPr>
            </w:pPr>
            <w:r w:rsidRPr="00CF1750">
              <w:rPr>
                <w:sz w:val="24"/>
                <w:szCs w:val="24"/>
              </w:rPr>
              <w:t>Venous thromboembolic event (VTE</w:t>
            </w:r>
            <w:r w:rsidR="006703C1" w:rsidRPr="00CF1750">
              <w:rPr>
                <w:sz w:val="24"/>
                <w:szCs w:val="24"/>
              </w:rPr>
              <w:t>)</w:t>
            </w:r>
            <w:r w:rsidR="00F60984" w:rsidRPr="00CF1750">
              <w:rPr>
                <w:sz w:val="24"/>
                <w:szCs w:val="24"/>
                <w:vertAlign w:val="superscript"/>
              </w:rPr>
              <w:t>a</w:t>
            </w:r>
          </w:p>
        </w:tc>
        <w:tc>
          <w:tcPr>
            <w:tcW w:w="2942" w:type="dxa"/>
          </w:tcPr>
          <w:p w14:paraId="27BED65D" w14:textId="19264C2B" w:rsidR="007D180B" w:rsidRPr="00CF1750"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57019937" w:rsidRPr="217FF934">
              <w:rPr>
                <w:i/>
                <w:iCs/>
                <w:sz w:val="24"/>
                <w:szCs w:val="24"/>
              </w:rPr>
              <w:t xml:space="preserve"> Enter here</w:t>
            </w:r>
          </w:p>
        </w:tc>
        <w:tc>
          <w:tcPr>
            <w:tcW w:w="3299" w:type="dxa"/>
          </w:tcPr>
          <w:p w14:paraId="5F326AA0" w14:textId="32ACB8EE" w:rsidR="007D180B" w:rsidRPr="00CF1750"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01F7D8BF" w:rsidRPr="217FF934">
              <w:rPr>
                <w:i/>
                <w:iCs/>
                <w:sz w:val="24"/>
                <w:szCs w:val="24"/>
              </w:rPr>
              <w:t xml:space="preserve"> Enter here</w:t>
            </w:r>
          </w:p>
        </w:tc>
      </w:tr>
      <w:tr w:rsidR="007D180B" w:rsidRPr="00EE7192" w14:paraId="31FD38F3" w14:textId="77777777" w:rsidTr="5F26565D">
        <w:trPr>
          <w:cantSplit/>
          <w:trHeight w:val="333"/>
        </w:trPr>
        <w:tc>
          <w:tcPr>
            <w:cnfStyle w:val="001000000000" w:firstRow="0" w:lastRow="0" w:firstColumn="1" w:lastColumn="0" w:oddVBand="0" w:evenVBand="0" w:oddHBand="0" w:evenHBand="0" w:firstRowFirstColumn="0" w:firstRowLastColumn="0" w:lastRowFirstColumn="0" w:lastRowLastColumn="0"/>
            <w:tcW w:w="3907" w:type="dxa"/>
            <w:noWrap/>
          </w:tcPr>
          <w:p w14:paraId="00495201" w14:textId="341A496E" w:rsidR="007D180B" w:rsidRPr="00EE7192" w:rsidRDefault="0046472C" w:rsidP="007D180B">
            <w:pPr>
              <w:pStyle w:val="TableParagraph"/>
              <w:rPr>
                <w:b w:val="0"/>
                <w:sz w:val="24"/>
                <w:szCs w:val="24"/>
              </w:rPr>
            </w:pPr>
            <w:r w:rsidRPr="00CF1750">
              <w:rPr>
                <w:sz w:val="24"/>
                <w:szCs w:val="24"/>
              </w:rPr>
              <w:t>R</w:t>
            </w:r>
            <w:r w:rsidR="007D180B" w:rsidRPr="00CF1750">
              <w:rPr>
                <w:sz w:val="24"/>
                <w:szCs w:val="24"/>
              </w:rPr>
              <w:t>eturn of bowel function (e.g., resolution of postop ileus)</w:t>
            </w:r>
            <w:r w:rsidR="00F60984" w:rsidRPr="00EE7192">
              <w:rPr>
                <w:sz w:val="28"/>
                <w:szCs w:val="24"/>
                <w:vertAlign w:val="superscript"/>
              </w:rPr>
              <w:t>b</w:t>
            </w:r>
          </w:p>
        </w:tc>
        <w:tc>
          <w:tcPr>
            <w:tcW w:w="2942" w:type="dxa"/>
          </w:tcPr>
          <w:p w14:paraId="17DB9169" w14:textId="2DBC54DC"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77E86146" w:rsidRPr="217FF934">
              <w:rPr>
                <w:i/>
                <w:iCs/>
                <w:sz w:val="24"/>
                <w:szCs w:val="24"/>
              </w:rPr>
              <w:t xml:space="preserve"> Enter here</w:t>
            </w:r>
          </w:p>
        </w:tc>
        <w:tc>
          <w:tcPr>
            <w:tcW w:w="3299" w:type="dxa"/>
          </w:tcPr>
          <w:p w14:paraId="5D662097" w14:textId="32E890F2"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0E7F98F8" w:rsidRPr="217FF934">
              <w:rPr>
                <w:i/>
                <w:iCs/>
                <w:sz w:val="24"/>
                <w:szCs w:val="24"/>
              </w:rPr>
              <w:t xml:space="preserve"> Enter here</w:t>
            </w:r>
          </w:p>
        </w:tc>
      </w:tr>
      <w:tr w:rsidR="007D180B" w:rsidRPr="00EE7192" w14:paraId="502E805D" w14:textId="77777777" w:rsidTr="5F26565D">
        <w:trPr>
          <w:cantSplit/>
          <w:trHeight w:val="333"/>
        </w:trPr>
        <w:tc>
          <w:tcPr>
            <w:cnfStyle w:val="001000000000" w:firstRow="0" w:lastRow="0" w:firstColumn="1" w:lastColumn="0" w:oddVBand="0" w:evenVBand="0" w:oddHBand="0" w:evenHBand="0" w:firstRowFirstColumn="0" w:firstRowLastColumn="0" w:lastRowFirstColumn="0" w:lastRowLastColumn="0"/>
            <w:tcW w:w="3907" w:type="dxa"/>
            <w:noWrap/>
          </w:tcPr>
          <w:p w14:paraId="0C349F1D" w14:textId="0C6E1130" w:rsidR="007D180B" w:rsidRPr="00EE7192" w:rsidRDefault="007D180B" w:rsidP="007D180B">
            <w:pPr>
              <w:pStyle w:val="TableParagraph"/>
              <w:rPr>
                <w:b w:val="0"/>
                <w:sz w:val="24"/>
                <w:szCs w:val="24"/>
              </w:rPr>
            </w:pPr>
            <w:r w:rsidRPr="00EE7192">
              <w:rPr>
                <w:sz w:val="24"/>
                <w:szCs w:val="24"/>
              </w:rPr>
              <w:t>New postop delirium (patients aged 65 years and older)</w:t>
            </w:r>
          </w:p>
        </w:tc>
        <w:tc>
          <w:tcPr>
            <w:tcW w:w="2942" w:type="dxa"/>
          </w:tcPr>
          <w:p w14:paraId="59C8E2CA" w14:textId="6C7984EA"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480313AA" w:rsidRPr="217FF934">
              <w:rPr>
                <w:i/>
                <w:iCs/>
                <w:sz w:val="24"/>
                <w:szCs w:val="24"/>
              </w:rPr>
              <w:t xml:space="preserve"> Enter here</w:t>
            </w:r>
          </w:p>
        </w:tc>
        <w:tc>
          <w:tcPr>
            <w:tcW w:w="3299" w:type="dxa"/>
          </w:tcPr>
          <w:p w14:paraId="0AB155A0" w14:textId="1FFC5828"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610D2BF8" w:rsidRPr="217FF934">
              <w:rPr>
                <w:i/>
                <w:iCs/>
                <w:sz w:val="24"/>
                <w:szCs w:val="24"/>
              </w:rPr>
              <w:t xml:space="preserve"> Enter here</w:t>
            </w:r>
          </w:p>
        </w:tc>
      </w:tr>
      <w:tr w:rsidR="007D180B" w:rsidRPr="00EE7192" w14:paraId="7696D850" w14:textId="77777777" w:rsidTr="5F26565D">
        <w:trPr>
          <w:cantSplit/>
          <w:trHeight w:val="321"/>
        </w:trPr>
        <w:tc>
          <w:tcPr>
            <w:cnfStyle w:val="001000000000" w:firstRow="0" w:lastRow="0" w:firstColumn="1" w:lastColumn="0" w:oddVBand="0" w:evenVBand="0" w:oddHBand="0" w:evenHBand="0" w:firstRowFirstColumn="0" w:firstRowLastColumn="0" w:lastRowFirstColumn="0" w:lastRowLastColumn="0"/>
            <w:tcW w:w="3907" w:type="dxa"/>
            <w:noWrap/>
            <w:hideMark/>
          </w:tcPr>
          <w:p w14:paraId="22FF5431" w14:textId="6F7FC930" w:rsidR="007D180B" w:rsidRPr="00EE7192" w:rsidRDefault="007D180B" w:rsidP="007D180B">
            <w:pPr>
              <w:pStyle w:val="TableParagraph"/>
              <w:rPr>
                <w:b w:val="0"/>
                <w:sz w:val="24"/>
                <w:szCs w:val="24"/>
              </w:rPr>
            </w:pPr>
            <w:r w:rsidRPr="00EE7192">
              <w:rPr>
                <w:sz w:val="24"/>
                <w:szCs w:val="24"/>
              </w:rPr>
              <w:t>All</w:t>
            </w:r>
            <w:r w:rsidR="00CB6E3B" w:rsidRPr="00EE7192">
              <w:rPr>
                <w:sz w:val="24"/>
                <w:szCs w:val="24"/>
              </w:rPr>
              <w:t>-</w:t>
            </w:r>
            <w:r w:rsidRPr="00EE7192">
              <w:rPr>
                <w:sz w:val="24"/>
                <w:szCs w:val="24"/>
              </w:rPr>
              <w:t xml:space="preserve">cause </w:t>
            </w:r>
            <w:proofErr w:type="spellStart"/>
            <w:r w:rsidRPr="00EE7192">
              <w:rPr>
                <w:sz w:val="24"/>
                <w:szCs w:val="24"/>
              </w:rPr>
              <w:t>mortality</w:t>
            </w:r>
            <w:r w:rsidR="00F60984" w:rsidRPr="00EE7192">
              <w:rPr>
                <w:sz w:val="28"/>
                <w:szCs w:val="24"/>
                <w:vertAlign w:val="superscript"/>
              </w:rPr>
              <w:t>a</w:t>
            </w:r>
            <w:proofErr w:type="spellEnd"/>
          </w:p>
        </w:tc>
        <w:tc>
          <w:tcPr>
            <w:tcW w:w="2942" w:type="dxa"/>
          </w:tcPr>
          <w:p w14:paraId="384D9E90" w14:textId="439BF503"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786A297D" w:rsidRPr="217FF934">
              <w:rPr>
                <w:i/>
                <w:iCs/>
                <w:sz w:val="24"/>
                <w:szCs w:val="24"/>
              </w:rPr>
              <w:t xml:space="preserve"> Enter here</w:t>
            </w:r>
          </w:p>
        </w:tc>
        <w:tc>
          <w:tcPr>
            <w:tcW w:w="3299" w:type="dxa"/>
          </w:tcPr>
          <w:p w14:paraId="14C8CE16" w14:textId="3C674392"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497F2746" w:rsidRPr="217FF934">
              <w:rPr>
                <w:i/>
                <w:iCs/>
                <w:sz w:val="24"/>
                <w:szCs w:val="24"/>
              </w:rPr>
              <w:t xml:space="preserve"> Enter here</w:t>
            </w:r>
          </w:p>
        </w:tc>
      </w:tr>
      <w:tr w:rsidR="007D180B" w:rsidRPr="00EE7192" w14:paraId="483BD5B0" w14:textId="77777777" w:rsidTr="5F26565D">
        <w:trPr>
          <w:cantSplit/>
          <w:trHeight w:val="321"/>
        </w:trPr>
        <w:tc>
          <w:tcPr>
            <w:cnfStyle w:val="001000000000" w:firstRow="0" w:lastRow="0" w:firstColumn="1" w:lastColumn="0" w:oddVBand="0" w:evenVBand="0" w:oddHBand="0" w:evenHBand="0" w:firstRowFirstColumn="0" w:firstRowLastColumn="0" w:lastRowFirstColumn="0" w:lastRowLastColumn="0"/>
            <w:tcW w:w="3907" w:type="dxa"/>
            <w:noWrap/>
            <w:hideMark/>
          </w:tcPr>
          <w:p w14:paraId="13F5695B" w14:textId="14563A8A" w:rsidR="007D180B" w:rsidRPr="00EE7192" w:rsidRDefault="007D180B" w:rsidP="007D180B">
            <w:pPr>
              <w:pStyle w:val="TableParagraph"/>
              <w:rPr>
                <w:b w:val="0"/>
                <w:sz w:val="24"/>
                <w:szCs w:val="24"/>
              </w:rPr>
            </w:pPr>
            <w:r w:rsidRPr="00EE7192">
              <w:rPr>
                <w:sz w:val="24"/>
                <w:szCs w:val="24"/>
              </w:rPr>
              <w:t>All</w:t>
            </w:r>
            <w:r w:rsidR="00CB6E3B" w:rsidRPr="00EE7192">
              <w:rPr>
                <w:sz w:val="24"/>
                <w:szCs w:val="24"/>
              </w:rPr>
              <w:t>-</w:t>
            </w:r>
            <w:r w:rsidRPr="00EE7192">
              <w:rPr>
                <w:sz w:val="24"/>
                <w:szCs w:val="24"/>
              </w:rPr>
              <w:t xml:space="preserve">cause </w:t>
            </w:r>
            <w:proofErr w:type="spellStart"/>
            <w:r w:rsidRPr="00EE7192">
              <w:rPr>
                <w:sz w:val="24"/>
                <w:szCs w:val="24"/>
              </w:rPr>
              <w:t>readmission</w:t>
            </w:r>
            <w:r w:rsidR="00F60984" w:rsidRPr="00EE7192">
              <w:rPr>
                <w:sz w:val="28"/>
                <w:szCs w:val="24"/>
                <w:vertAlign w:val="superscript"/>
              </w:rPr>
              <w:t>a</w:t>
            </w:r>
            <w:proofErr w:type="spellEnd"/>
          </w:p>
        </w:tc>
        <w:tc>
          <w:tcPr>
            <w:tcW w:w="2942" w:type="dxa"/>
          </w:tcPr>
          <w:p w14:paraId="48D777F0" w14:textId="57EADA8C"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4556C70B" w:rsidRPr="217FF934">
              <w:rPr>
                <w:i/>
                <w:iCs/>
                <w:sz w:val="24"/>
                <w:szCs w:val="24"/>
              </w:rPr>
              <w:t xml:space="preserve"> Enter here</w:t>
            </w:r>
          </w:p>
        </w:tc>
        <w:tc>
          <w:tcPr>
            <w:tcW w:w="3299" w:type="dxa"/>
          </w:tcPr>
          <w:p w14:paraId="0D210EA7" w14:textId="309A4897"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3BE9375C" w:rsidRPr="217FF934">
              <w:rPr>
                <w:i/>
                <w:iCs/>
                <w:sz w:val="24"/>
                <w:szCs w:val="24"/>
              </w:rPr>
              <w:t xml:space="preserve"> Enter here</w:t>
            </w:r>
          </w:p>
        </w:tc>
      </w:tr>
      <w:tr w:rsidR="007D180B" w:rsidRPr="00EE7192" w14:paraId="23866136" w14:textId="77777777" w:rsidTr="5F26565D">
        <w:trPr>
          <w:cantSplit/>
          <w:trHeight w:val="321"/>
        </w:trPr>
        <w:tc>
          <w:tcPr>
            <w:cnfStyle w:val="001000000000" w:firstRow="0" w:lastRow="0" w:firstColumn="1" w:lastColumn="0" w:oddVBand="0" w:evenVBand="0" w:oddHBand="0" w:evenHBand="0" w:firstRowFirstColumn="0" w:firstRowLastColumn="0" w:lastRowFirstColumn="0" w:lastRowLastColumn="0"/>
            <w:tcW w:w="3907" w:type="dxa"/>
            <w:noWrap/>
            <w:hideMark/>
          </w:tcPr>
          <w:p w14:paraId="3A81A38B" w14:textId="77777777" w:rsidR="007D180B" w:rsidRPr="00EE7192" w:rsidRDefault="007D180B" w:rsidP="007D180B">
            <w:pPr>
              <w:pStyle w:val="TableParagraph"/>
              <w:rPr>
                <w:b w:val="0"/>
                <w:sz w:val="24"/>
                <w:szCs w:val="24"/>
              </w:rPr>
            </w:pPr>
            <w:r w:rsidRPr="00EE7192">
              <w:rPr>
                <w:sz w:val="24"/>
                <w:szCs w:val="24"/>
              </w:rPr>
              <w:t>Length of stay</w:t>
            </w:r>
          </w:p>
        </w:tc>
        <w:tc>
          <w:tcPr>
            <w:tcW w:w="2942" w:type="dxa"/>
          </w:tcPr>
          <w:p w14:paraId="1A6BE6D6" w14:textId="6A848637"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05443ABB" w:rsidRPr="217FF934">
              <w:rPr>
                <w:i/>
                <w:iCs/>
                <w:sz w:val="24"/>
                <w:szCs w:val="24"/>
              </w:rPr>
              <w:t xml:space="preserve"> Enter here</w:t>
            </w:r>
          </w:p>
        </w:tc>
        <w:tc>
          <w:tcPr>
            <w:tcW w:w="3299" w:type="dxa"/>
          </w:tcPr>
          <w:p w14:paraId="38836354" w14:textId="304A6697"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09E8CE9D" w:rsidRPr="217FF934">
              <w:rPr>
                <w:i/>
                <w:iCs/>
                <w:sz w:val="24"/>
                <w:szCs w:val="24"/>
              </w:rPr>
              <w:t xml:space="preserve"> Enter here</w:t>
            </w:r>
          </w:p>
        </w:tc>
      </w:tr>
      <w:tr w:rsidR="007D180B" w:rsidRPr="00EE7192" w14:paraId="3602309B" w14:textId="77777777" w:rsidTr="5F26565D">
        <w:trPr>
          <w:cantSplit/>
          <w:trHeight w:val="321"/>
        </w:trPr>
        <w:tc>
          <w:tcPr>
            <w:cnfStyle w:val="001000000000" w:firstRow="0" w:lastRow="0" w:firstColumn="1" w:lastColumn="0" w:oddVBand="0" w:evenVBand="0" w:oddHBand="0" w:evenHBand="0" w:firstRowFirstColumn="0" w:firstRowLastColumn="0" w:lastRowFirstColumn="0" w:lastRowLastColumn="0"/>
            <w:tcW w:w="3907" w:type="dxa"/>
            <w:noWrap/>
            <w:hideMark/>
          </w:tcPr>
          <w:p w14:paraId="754C2A55" w14:textId="77777777" w:rsidR="007D180B" w:rsidRPr="00EE7192" w:rsidRDefault="007D180B" w:rsidP="007D180B">
            <w:pPr>
              <w:pStyle w:val="TableParagraph"/>
              <w:rPr>
                <w:b w:val="0"/>
                <w:sz w:val="24"/>
                <w:szCs w:val="24"/>
              </w:rPr>
            </w:pPr>
            <w:r w:rsidRPr="00EE7192">
              <w:rPr>
                <w:sz w:val="24"/>
                <w:szCs w:val="24"/>
              </w:rPr>
              <w:t>Patient satisfaction</w:t>
            </w:r>
            <w:r w:rsidR="00051696" w:rsidRPr="00EE7192">
              <w:rPr>
                <w:sz w:val="24"/>
                <w:szCs w:val="24"/>
              </w:rPr>
              <w:t xml:space="preserve"> (as measured by hospital)</w:t>
            </w:r>
            <w:r w:rsidR="008868EF" w:rsidRPr="00EE7192">
              <w:rPr>
                <w:sz w:val="24"/>
                <w:szCs w:val="24"/>
              </w:rPr>
              <w:t xml:space="preserve"> </w:t>
            </w:r>
          </w:p>
        </w:tc>
        <w:tc>
          <w:tcPr>
            <w:tcW w:w="2942" w:type="dxa"/>
          </w:tcPr>
          <w:p w14:paraId="0600F74B" w14:textId="1D910941"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413C64A2" w:rsidRPr="217FF934">
              <w:rPr>
                <w:i/>
                <w:iCs/>
                <w:sz w:val="24"/>
                <w:szCs w:val="24"/>
              </w:rPr>
              <w:t xml:space="preserve"> Enter here</w:t>
            </w:r>
          </w:p>
        </w:tc>
        <w:tc>
          <w:tcPr>
            <w:tcW w:w="3299" w:type="dxa"/>
          </w:tcPr>
          <w:p w14:paraId="6E1BA7D3" w14:textId="23AC1F09"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7AB1C7D4" w:rsidRPr="217FF934">
              <w:rPr>
                <w:i/>
                <w:iCs/>
                <w:sz w:val="24"/>
                <w:szCs w:val="24"/>
              </w:rPr>
              <w:t xml:space="preserve"> Enter here</w:t>
            </w:r>
          </w:p>
        </w:tc>
      </w:tr>
      <w:tr w:rsidR="007D180B" w:rsidRPr="00EE7192" w14:paraId="21A6D48C" w14:textId="77777777" w:rsidTr="5F26565D">
        <w:trPr>
          <w:cantSplit/>
          <w:trHeight w:val="321"/>
        </w:trPr>
        <w:tc>
          <w:tcPr>
            <w:cnfStyle w:val="001000000000" w:firstRow="0" w:lastRow="0" w:firstColumn="1" w:lastColumn="0" w:oddVBand="0" w:evenVBand="0" w:oddHBand="0" w:evenHBand="0" w:firstRowFirstColumn="0" w:firstRowLastColumn="0" w:lastRowFirstColumn="0" w:lastRowLastColumn="0"/>
            <w:tcW w:w="3907" w:type="dxa"/>
            <w:noWrap/>
            <w:hideMark/>
          </w:tcPr>
          <w:p w14:paraId="0D0F73F7" w14:textId="5288E9D3" w:rsidR="007D180B" w:rsidRPr="00EE7192" w:rsidRDefault="007D180B" w:rsidP="007D180B">
            <w:pPr>
              <w:pStyle w:val="TableParagraph"/>
              <w:rPr>
                <w:b w:val="0"/>
                <w:sz w:val="24"/>
                <w:szCs w:val="24"/>
              </w:rPr>
            </w:pPr>
            <w:r w:rsidRPr="00EE7192">
              <w:rPr>
                <w:sz w:val="24"/>
                <w:szCs w:val="24"/>
              </w:rPr>
              <w:t xml:space="preserve">Safety </w:t>
            </w:r>
            <w:proofErr w:type="spellStart"/>
            <w:r w:rsidR="006703C1" w:rsidRPr="00EE7192">
              <w:rPr>
                <w:sz w:val="24"/>
                <w:szCs w:val="24"/>
              </w:rPr>
              <w:t>culture</w:t>
            </w:r>
            <w:r w:rsidR="006703C1" w:rsidRPr="00EE7192">
              <w:rPr>
                <w:sz w:val="28"/>
                <w:szCs w:val="24"/>
                <w:vertAlign w:val="superscript"/>
              </w:rPr>
              <w:t>c</w:t>
            </w:r>
            <w:proofErr w:type="spellEnd"/>
          </w:p>
        </w:tc>
        <w:tc>
          <w:tcPr>
            <w:tcW w:w="2942" w:type="dxa"/>
          </w:tcPr>
          <w:p w14:paraId="24E0936A" w14:textId="6F62F707"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60319F8E" w:rsidRPr="217FF934">
              <w:rPr>
                <w:i/>
                <w:iCs/>
                <w:sz w:val="24"/>
                <w:szCs w:val="24"/>
              </w:rPr>
              <w:t xml:space="preserve"> Enter here</w:t>
            </w:r>
          </w:p>
        </w:tc>
        <w:tc>
          <w:tcPr>
            <w:tcW w:w="3299" w:type="dxa"/>
          </w:tcPr>
          <w:p w14:paraId="56840453" w14:textId="0ACE9A89"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4099D163" w:rsidRPr="217FF934">
              <w:rPr>
                <w:i/>
                <w:iCs/>
                <w:sz w:val="24"/>
                <w:szCs w:val="24"/>
              </w:rPr>
              <w:t xml:space="preserve"> Enter here</w:t>
            </w:r>
          </w:p>
        </w:tc>
      </w:tr>
      <w:tr w:rsidR="007D180B" w:rsidRPr="00EE7192" w14:paraId="09C3D723" w14:textId="77777777" w:rsidTr="5F26565D">
        <w:trPr>
          <w:cantSplit/>
          <w:trHeight w:val="321"/>
        </w:trPr>
        <w:tc>
          <w:tcPr>
            <w:cnfStyle w:val="001000000000" w:firstRow="0" w:lastRow="0" w:firstColumn="1" w:lastColumn="0" w:oddVBand="0" w:evenVBand="0" w:oddHBand="0" w:evenHBand="0" w:firstRowFirstColumn="0" w:firstRowLastColumn="0" w:lastRowFirstColumn="0" w:lastRowLastColumn="0"/>
            <w:tcW w:w="3907" w:type="dxa"/>
            <w:noWrap/>
          </w:tcPr>
          <w:p w14:paraId="1834C405" w14:textId="77777777" w:rsidR="007D180B" w:rsidRPr="00EE7192" w:rsidRDefault="007D180B" w:rsidP="007D180B">
            <w:pPr>
              <w:pStyle w:val="TableParagraph"/>
              <w:rPr>
                <w:b w:val="0"/>
                <w:sz w:val="24"/>
                <w:szCs w:val="24"/>
              </w:rPr>
            </w:pPr>
            <w:r w:rsidRPr="00EE7192">
              <w:rPr>
                <w:sz w:val="24"/>
                <w:szCs w:val="24"/>
              </w:rPr>
              <w:t>Other:</w:t>
            </w:r>
          </w:p>
        </w:tc>
        <w:tc>
          <w:tcPr>
            <w:tcW w:w="2942" w:type="dxa"/>
          </w:tcPr>
          <w:p w14:paraId="3B50C065" w14:textId="3C991052"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33E207C4" w:rsidRPr="217FF934">
              <w:rPr>
                <w:i/>
                <w:iCs/>
                <w:sz w:val="24"/>
                <w:szCs w:val="24"/>
              </w:rPr>
              <w:t xml:space="preserve"> Enter here</w:t>
            </w:r>
          </w:p>
        </w:tc>
        <w:tc>
          <w:tcPr>
            <w:tcW w:w="3299" w:type="dxa"/>
          </w:tcPr>
          <w:p w14:paraId="23F1AE99" w14:textId="2A44CF13" w:rsidR="007D180B" w:rsidRPr="00EE7192" w:rsidRDefault="00B36099" w:rsidP="007D180B">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sidRPr="217FF934">
              <w:rPr>
                <w:sz w:val="24"/>
                <w:szCs w:val="24"/>
              </w:rPr>
              <w:t>-</w:t>
            </w:r>
            <w:r w:rsidR="4C3BD866" w:rsidRPr="217FF934">
              <w:rPr>
                <w:i/>
                <w:iCs/>
                <w:sz w:val="24"/>
                <w:szCs w:val="24"/>
              </w:rPr>
              <w:t xml:space="preserve"> Enter here</w:t>
            </w:r>
          </w:p>
        </w:tc>
      </w:tr>
    </w:tbl>
    <w:p w14:paraId="1ABCDF42" w14:textId="1074E934" w:rsidR="00E97625" w:rsidRPr="00EE7192" w:rsidRDefault="00F60984" w:rsidP="00B47C17">
      <w:pPr>
        <w:pStyle w:val="StyleReference12ptText1"/>
      </w:pPr>
      <w:proofErr w:type="spellStart"/>
      <w:r w:rsidRPr="00EE7192">
        <w:rPr>
          <w:sz w:val="28"/>
          <w:vertAlign w:val="superscript"/>
        </w:rPr>
        <w:t>a</w:t>
      </w:r>
      <w:r w:rsidR="00633C34" w:rsidRPr="00EE7192">
        <w:t>Outcomes</w:t>
      </w:r>
      <w:proofErr w:type="spellEnd"/>
      <w:r w:rsidR="00633C34" w:rsidRPr="00EE7192">
        <w:t xml:space="preserve"> 30 days postop or 30 days post-discharge, depending upon the definition of the measure</w:t>
      </w:r>
      <w:r w:rsidR="00F47308" w:rsidRPr="00EE7192">
        <w:tab/>
      </w:r>
    </w:p>
    <w:p w14:paraId="156BB8A6" w14:textId="0F4FDBFA" w:rsidR="006703C1" w:rsidRPr="00EE7192" w:rsidRDefault="00F60984" w:rsidP="00B47C17">
      <w:pPr>
        <w:pStyle w:val="StyleReference12ptText1"/>
      </w:pPr>
      <w:proofErr w:type="spellStart"/>
      <w:r w:rsidRPr="00EE7192">
        <w:rPr>
          <w:sz w:val="28"/>
          <w:vertAlign w:val="superscript"/>
        </w:rPr>
        <w:t>b</w:t>
      </w:r>
      <w:r w:rsidR="006703C1" w:rsidRPr="00EE7192">
        <w:t>If</w:t>
      </w:r>
      <w:proofErr w:type="spellEnd"/>
      <w:r w:rsidR="006703C1" w:rsidRPr="00EE7192">
        <w:t xml:space="preserve"> </w:t>
      </w:r>
      <w:r w:rsidR="00F47308" w:rsidRPr="00EE7192">
        <w:t>applicable, based on the procedure and patient risk factors</w:t>
      </w:r>
    </w:p>
    <w:p w14:paraId="21AA4C8F" w14:textId="3E2ACB53" w:rsidR="001B1787" w:rsidRDefault="006703C1" w:rsidP="00B47C17">
      <w:pPr>
        <w:pStyle w:val="StyleReference12ptText1"/>
      </w:pPr>
      <w:proofErr w:type="spellStart"/>
      <w:r w:rsidRPr="00EE7192">
        <w:rPr>
          <w:sz w:val="28"/>
          <w:vertAlign w:val="superscript"/>
        </w:rPr>
        <w:t>c</w:t>
      </w:r>
      <w:r w:rsidRPr="00EE7192">
        <w:t>Examples</w:t>
      </w:r>
      <w:proofErr w:type="spellEnd"/>
      <w:r w:rsidRPr="00EE7192">
        <w:t xml:space="preserve"> </w:t>
      </w:r>
      <w:r w:rsidR="00D638EA" w:rsidRPr="00C849CD">
        <w:t xml:space="preserve">of </w:t>
      </w:r>
      <w:r w:rsidR="0017223A" w:rsidRPr="00C849CD">
        <w:t>assessments include</w:t>
      </w:r>
      <w:r w:rsidR="00D638EA" w:rsidRPr="00C849CD">
        <w:t xml:space="preserve"> the</w:t>
      </w:r>
      <w:r w:rsidR="0017223A" w:rsidRPr="00C849CD">
        <w:t xml:space="preserve"> </w:t>
      </w:r>
      <w:hyperlink r:id="rId9" w:history="1">
        <w:r w:rsidR="0017223A" w:rsidRPr="00C849CD">
          <w:rPr>
            <w:rStyle w:val="Hyperlink"/>
            <w:sz w:val="24"/>
          </w:rPr>
          <w:t>A</w:t>
        </w:r>
        <w:r w:rsidR="00E21AD0" w:rsidRPr="00C849CD">
          <w:rPr>
            <w:rStyle w:val="Hyperlink"/>
            <w:sz w:val="24"/>
          </w:rPr>
          <w:t>HRQ Hospital Survey on Patient Safety Culture</w:t>
        </w:r>
      </w:hyperlink>
      <w:r w:rsidR="0017223A" w:rsidRPr="00EE7192">
        <w:t xml:space="preserve"> </w:t>
      </w:r>
      <w:r w:rsidR="00D638EA" w:rsidRPr="00EE7192">
        <w:t xml:space="preserve"> and </w:t>
      </w:r>
      <w:r w:rsidR="0017223A" w:rsidRPr="00EE7192">
        <w:t xml:space="preserve">the </w:t>
      </w:r>
      <w:hyperlink r:id="rId10" w:history="1">
        <w:r w:rsidR="0017223A" w:rsidRPr="00EE7192">
          <w:rPr>
            <w:rStyle w:val="Hyperlink"/>
            <w:sz w:val="24"/>
          </w:rPr>
          <w:t>Safety Attitudes and Safety Climate Questionnaire</w:t>
        </w:r>
      </w:hyperlink>
      <w:r w:rsidR="0017223A" w:rsidRPr="00EE7192">
        <w:t xml:space="preserve"> </w:t>
      </w:r>
    </w:p>
    <w:p w14:paraId="0AC70519" w14:textId="70E105E8" w:rsidR="00B47C17" w:rsidRPr="00B47C17" w:rsidRDefault="00B47C17" w:rsidP="00B47C17">
      <w:pPr>
        <w:pStyle w:val="StyleReference12ptText1"/>
        <w:jc w:val="right"/>
        <w:rPr>
          <w:i w:val="0"/>
          <w:iCs w:val="0"/>
          <w:sz w:val="16"/>
          <w:szCs w:val="16"/>
        </w:rPr>
      </w:pPr>
      <w:r w:rsidRPr="00B47C17">
        <w:rPr>
          <w:i w:val="0"/>
          <w:iCs w:val="0"/>
          <w:sz w:val="16"/>
          <w:szCs w:val="16"/>
        </w:rPr>
        <w:t>AHRQ Pub. No. 23-0052</w:t>
      </w:r>
    </w:p>
    <w:p w14:paraId="03AC836E" w14:textId="62D6F2E5" w:rsidR="00B47C17" w:rsidRPr="00B47C17" w:rsidRDefault="00B47C17" w:rsidP="00B47C17">
      <w:pPr>
        <w:pStyle w:val="StyleReference12ptText1"/>
        <w:jc w:val="right"/>
        <w:rPr>
          <w:i w:val="0"/>
          <w:iCs w:val="0"/>
          <w:sz w:val="16"/>
          <w:szCs w:val="16"/>
        </w:rPr>
      </w:pPr>
      <w:r w:rsidRPr="00B47C17">
        <w:rPr>
          <w:i w:val="0"/>
          <w:iCs w:val="0"/>
          <w:sz w:val="16"/>
          <w:szCs w:val="16"/>
        </w:rPr>
        <w:t>June 2023</w:t>
      </w:r>
    </w:p>
    <w:sectPr w:rsidR="00B47C17" w:rsidRPr="00B47C17" w:rsidSect="00FA0A8B">
      <w:footerReference w:type="even" r:id="rId11"/>
      <w:footerReference w:type="default" r:id="rId12"/>
      <w:headerReference w:type="first" r:id="rId13"/>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D323" w14:textId="77777777" w:rsidR="00464BF3" w:rsidRDefault="00464BF3" w:rsidP="00CC236D">
      <w:r>
        <w:separator/>
      </w:r>
    </w:p>
  </w:endnote>
  <w:endnote w:type="continuationSeparator" w:id="0">
    <w:p w14:paraId="23CC8DCB" w14:textId="77777777" w:rsidR="00464BF3" w:rsidRDefault="00464BF3" w:rsidP="00CC236D">
      <w:r>
        <w:continuationSeparator/>
      </w:r>
    </w:p>
  </w:endnote>
  <w:endnote w:type="continuationNotice" w:id="1">
    <w:p w14:paraId="33D0CB96" w14:textId="77777777" w:rsidR="00464BF3" w:rsidRDefault="00464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EF0F" w14:textId="558A8D22" w:rsidR="003441F5" w:rsidRDefault="003441F5" w:rsidP="007220F9">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0666B">
      <w:rPr>
        <w:rStyle w:val="PageNumber"/>
        <w:noProof/>
      </w:rPr>
      <w:t>5</w:t>
    </w:r>
    <w:r>
      <w:rPr>
        <w:rStyle w:val="PageNumber"/>
      </w:rPr>
      <w:fldChar w:fldCharType="end"/>
    </w:r>
  </w:p>
  <w:p w14:paraId="358FB7B1" w14:textId="77777777" w:rsidR="003441F5" w:rsidRDefault="003441F5" w:rsidP="003441F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55BA" w14:textId="77777777" w:rsidR="00CC236D" w:rsidRPr="00D3163C" w:rsidRDefault="00460E2B" w:rsidP="00EA7140">
    <w:pPr>
      <w:pStyle w:val="Footer"/>
      <w:rPr>
        <w:sz w:val="20"/>
        <w:szCs w:val="20"/>
      </w:rPr>
    </w:pPr>
    <w:r w:rsidRPr="00D3163C">
      <w:rPr>
        <w:noProof/>
        <w:sz w:val="20"/>
        <w:szCs w:val="20"/>
      </w:rPr>
      <mc:AlternateContent>
        <mc:Choice Requires="wps">
          <w:drawing>
            <wp:anchor distT="0" distB="0" distL="114300" distR="114300" simplePos="0" relativeHeight="251658243" behindDoc="0" locked="0" layoutInCell="1" allowOverlap="1" wp14:anchorId="5B6DBD08" wp14:editId="1BF9CE2D">
              <wp:simplePos x="0" y="0"/>
              <wp:positionH relativeFrom="column">
                <wp:posOffset>5072932</wp:posOffset>
              </wp:positionH>
              <wp:positionV relativeFrom="paragraph">
                <wp:posOffset>426802</wp:posOffset>
              </wp:positionV>
              <wp:extent cx="1770573" cy="279289"/>
              <wp:effectExtent l="0" t="0" r="0" b="698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70573" cy="279289"/>
                      </a:xfrm>
                      <a:prstGeom prst="rect">
                        <a:avLst/>
                      </a:prstGeom>
                      <a:noFill/>
                      <a:ln w="6350">
                        <a:noFill/>
                      </a:ln>
                    </wps:spPr>
                    <wps:txbx>
                      <w:txbxContent>
                        <w:p w14:paraId="4BE2EC16" w14:textId="533C99BD" w:rsidR="007301F2" w:rsidRPr="00EA7140" w:rsidRDefault="00592B4A" w:rsidP="00592B4A">
                          <w:pPr>
                            <w:pStyle w:val="documentfootertitle"/>
                          </w:pPr>
                          <w:r>
                            <w:t xml:space="preserve">Engaging Staff </w:t>
                          </w:r>
                          <w:proofErr w:type="gramStart"/>
                          <w:r w:rsidR="0040666B">
                            <w:t>W</w:t>
                          </w:r>
                          <w:r>
                            <w:t>ith</w:t>
                          </w:r>
                          <w:proofErr w:type="gramEnd"/>
                          <w:r>
                            <w:t xml:space="preserve"> ISCR D</w:t>
                          </w:r>
                          <w:r w:rsidR="00B95F31" w:rsidRPr="00F43CD3">
                            <w:t>ata</w:t>
                          </w:r>
                          <w:r w:rsidR="000A228E" w:rsidRPr="00F43CD3">
                            <w:t xml:space="preserve">  </w:t>
                          </w:r>
                          <w:r w:rsidR="000A228E" w:rsidRPr="0012395E">
                            <w:fldChar w:fldCharType="begin"/>
                          </w:r>
                          <w:r w:rsidR="000A228E" w:rsidRPr="00EA7140">
                            <w:instrText xml:space="preserve"> PAGE   \* MERGEFORMAT </w:instrText>
                          </w:r>
                          <w:r w:rsidR="000A228E" w:rsidRPr="0012395E">
                            <w:fldChar w:fldCharType="separate"/>
                          </w:r>
                          <w:r w:rsidR="000A228E" w:rsidRPr="0012395E">
                            <w:t>1</w:t>
                          </w:r>
                          <w:r w:rsidR="000A228E" w:rsidRPr="0012395E">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DBD08" id="_x0000_t202" coordsize="21600,21600" o:spt="202" path="m,l,21600r21600,l21600,xe">
              <v:stroke joinstyle="miter"/>
              <v:path gradientshapeok="t" o:connecttype="rect"/>
            </v:shapetype>
            <v:shape id="Text Box 5" o:spid="_x0000_s1027" type="#_x0000_t202" alt="&quot;&quot;" style="position:absolute;margin-left:399.45pt;margin-top:33.6pt;width:139.4pt;height:2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8GQIAAC4EAAAOAAAAZHJzL2Uyb0RvYy54bWysU8tu2zAQvBfIPxC8x5IdO44Fy4GbwEUB&#10;IwngFDnTFGkJoLgsSVtyv75LSn4g7anohdrVLvcxM5w/trUiB2FdBTqnw0FKidAcikrvcvrjfXX7&#10;QInzTBdMgRY5PQpHHxc3X+aNycQISlCFsASLaJc1Jqel9yZLEsdLUTM3ACM0BiXYmnl07S4pLGuw&#10;eq2SUZreJw3Ywljgwjn8+9wF6SLWl1Jw/yqlE56onOJsPp42nttwJos5y3aWmbLi/RjsH6aoWaWx&#10;6bnUM/OM7G31R6m64hYcSD/gUCcgZcVF3AG3GaafttmUzIi4C4LjzBkm9//K8pfDxrxZ4tuv0CKB&#10;AZDGuMzhz7BPK20dvjgpwThCeDzDJlpPeLg0naaT6R0lHGOj6Wz0MAtlksttY53/JqAmwcipRVoi&#10;Wuywdr5LPaWEZhpWlVKRGqVJk9P7u0kaL5wjWFxp7HGZNVi+3bb9AlsojriXhY5yZ/iqwuZr5vwb&#10;s8gxroK69a94SAXYBHqLkhLsr7/9D/kIPUYpaVAzOXU/98wKStR3jaTMhuNxEFl0xpPpCB17Hdle&#10;R/S+fgKU5RBfiOHRDPlenUxpof5AeS9DVwwxzbF3Trm3J+fJd1rGB8LFchnTUFiG+bXeGB6KB0AD&#10;uO/tB7OmZ8Ajdy9w0hfLPhHR5XZULPceZBVZChB3uPbIoygjz/0DCqq/9mPW5ZkvfgMAAP//AwBQ&#10;SwMEFAAGAAgAAAAhAPYXli3iAAAACwEAAA8AAABkcnMvZG93bnJldi54bWxMj7FqwzAQhvdC30Fc&#10;oUtJJJsSJa7lUAIFD16SlkI3xbpYJpbkSorjvn2Vqd3uuI//vr/czmYgE/rQOysgWzIgaFunetsJ&#10;+Hh/W6yBhCitkoOzKOAHA2yr+7tSFspd7R6nQ+xICrGhkAJ0jGNBaWg1GhmWbkSbbifnjYxp9R1V&#10;Xl5TuBloztiKGtnb9EHLEXca2/PhYgRMn/Wz2k86+qddU7P63Hzzr0aIx4f59QVIxDn+wXDTT+pQ&#10;Jaeju1gVyCCAb9abhApY8RzIDWCccyDHNGVZDrQq6f8O1S8AAAD//wMAUEsBAi0AFAAGAAgAAAAh&#10;ALaDOJL+AAAA4QEAABMAAAAAAAAAAAAAAAAAAAAAAFtDb250ZW50X1R5cGVzXS54bWxQSwECLQAU&#10;AAYACAAAACEAOP0h/9YAAACUAQAACwAAAAAAAAAAAAAAAAAvAQAAX3JlbHMvLnJlbHNQSwECLQAU&#10;AAYACAAAACEAPs1zvBkCAAAuBAAADgAAAAAAAAAAAAAAAAAuAgAAZHJzL2Uyb0RvYy54bWxQSwEC&#10;LQAUAAYACAAAACEA9heWLeIAAAALAQAADwAAAAAAAAAAAAAAAABzBAAAZHJzL2Rvd25yZXYueG1s&#10;UEsFBgAAAAAEAAQA8wAAAIIFAAAAAA==&#10;" filled="f" stroked="f" strokeweight=".5pt">
              <v:textbox>
                <w:txbxContent>
                  <w:p w14:paraId="4BE2EC16" w14:textId="533C99BD" w:rsidR="007301F2" w:rsidRPr="00EA7140" w:rsidRDefault="00592B4A" w:rsidP="00592B4A">
                    <w:pPr>
                      <w:pStyle w:val="documentfootertitle"/>
                    </w:pPr>
                    <w:r>
                      <w:t xml:space="preserve">Engaging Staff </w:t>
                    </w:r>
                    <w:proofErr w:type="gramStart"/>
                    <w:r w:rsidR="0040666B">
                      <w:t>W</w:t>
                    </w:r>
                    <w:r>
                      <w:t>ith</w:t>
                    </w:r>
                    <w:proofErr w:type="gramEnd"/>
                    <w:r>
                      <w:t xml:space="preserve"> ISCR D</w:t>
                    </w:r>
                    <w:r w:rsidR="00B95F31" w:rsidRPr="00F43CD3">
                      <w:t>ata</w:t>
                    </w:r>
                    <w:r w:rsidR="000A228E" w:rsidRPr="00F43CD3">
                      <w:t xml:space="preserve">  </w:t>
                    </w:r>
                    <w:r w:rsidR="000A228E" w:rsidRPr="0012395E">
                      <w:fldChar w:fldCharType="begin"/>
                    </w:r>
                    <w:r w:rsidR="000A228E" w:rsidRPr="00EA7140">
                      <w:instrText xml:space="preserve"> PAGE   \* MERGEFORMAT </w:instrText>
                    </w:r>
                    <w:r w:rsidR="000A228E" w:rsidRPr="0012395E">
                      <w:fldChar w:fldCharType="separate"/>
                    </w:r>
                    <w:r w:rsidR="000A228E" w:rsidRPr="0012395E">
                      <w:t>1</w:t>
                    </w:r>
                    <w:r w:rsidR="000A228E" w:rsidRPr="0012395E">
                      <w:fldChar w:fldCharType="end"/>
                    </w:r>
                  </w:p>
                </w:txbxContent>
              </v:textbox>
            </v:shape>
          </w:pict>
        </mc:Fallback>
      </mc:AlternateContent>
    </w:r>
    <w:r w:rsidR="000A228E" w:rsidRPr="00D3163C">
      <w:rPr>
        <w:noProof/>
        <w:sz w:val="20"/>
        <w:szCs w:val="20"/>
      </w:rPr>
      <w:drawing>
        <wp:anchor distT="0" distB="0" distL="114300" distR="114300" simplePos="0" relativeHeight="251658241" behindDoc="1" locked="0" layoutInCell="1" allowOverlap="1" wp14:anchorId="596747E6" wp14:editId="6A3E1B31">
          <wp:simplePos x="0" y="0"/>
          <wp:positionH relativeFrom="column">
            <wp:posOffset>4081145</wp:posOffset>
          </wp:positionH>
          <wp:positionV relativeFrom="paragraph">
            <wp:posOffset>41275</wp:posOffset>
          </wp:positionV>
          <wp:extent cx="2762250" cy="742950"/>
          <wp:effectExtent l="0" t="0" r="6350" b="635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2250" cy="742950"/>
                  </a:xfrm>
                  <a:prstGeom prst="rect">
                    <a:avLst/>
                  </a:prstGeom>
                </pic:spPr>
              </pic:pic>
            </a:graphicData>
          </a:graphic>
          <wp14:sizeRelH relativeFrom="page">
            <wp14:pctWidth>0</wp14:pctWidth>
          </wp14:sizeRelH>
          <wp14:sizeRelV relativeFrom="page">
            <wp14:pctHeight>0</wp14:pctHeight>
          </wp14:sizeRelV>
        </wp:anchor>
      </w:drawing>
    </w:r>
    <w:r w:rsidR="000A228E" w:rsidRPr="00D3163C">
      <w:rPr>
        <w:rStyle w:val="PageNumber"/>
        <w:sz w:val="20"/>
        <w:szCs w:val="20"/>
      </w:rPr>
      <w:t>AHRQ</w:t>
    </w:r>
    <w:r w:rsidR="000A228E" w:rsidRPr="00D3163C">
      <w:rPr>
        <w:noProof/>
        <w:sz w:val="20"/>
        <w:szCs w:val="20"/>
      </w:rPr>
      <w:t xml:space="preserve"> Safety Program for Improving Surgical Care and Recovery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0E91A" w14:textId="77777777" w:rsidR="00464BF3" w:rsidRDefault="00464BF3" w:rsidP="00CC236D">
      <w:r>
        <w:separator/>
      </w:r>
    </w:p>
  </w:footnote>
  <w:footnote w:type="continuationSeparator" w:id="0">
    <w:p w14:paraId="1680810B" w14:textId="77777777" w:rsidR="00464BF3" w:rsidRDefault="00464BF3" w:rsidP="00CC236D">
      <w:r>
        <w:continuationSeparator/>
      </w:r>
    </w:p>
  </w:footnote>
  <w:footnote w:type="continuationNotice" w:id="1">
    <w:p w14:paraId="58BEFC5D" w14:textId="77777777" w:rsidR="00464BF3" w:rsidRDefault="00464B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683A" w14:textId="77777777" w:rsidR="00CC236D" w:rsidRDefault="00401642" w:rsidP="00401642">
    <w:pPr>
      <w:tabs>
        <w:tab w:val="left" w:pos="6006"/>
      </w:tabs>
    </w:pPr>
    <w:r w:rsidRPr="00622680">
      <w:rPr>
        <w:noProof/>
      </w:rPr>
      <w:drawing>
        <wp:anchor distT="0" distB="0" distL="114300" distR="114300" simplePos="0" relativeHeight="251660291" behindDoc="1" locked="0" layoutInCell="1" allowOverlap="1" wp14:anchorId="6BA6226E" wp14:editId="5F83CAEC">
          <wp:simplePos x="0" y="0"/>
          <wp:positionH relativeFrom="page">
            <wp:align>left</wp:align>
          </wp:positionH>
          <wp:positionV relativeFrom="page">
            <wp:align>top</wp:align>
          </wp:positionV>
          <wp:extent cx="7772400" cy="10058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7891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2E8E7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2807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7E03F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7AD9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36A4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1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2EEE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95EEB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661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3364B4"/>
    <w:multiLevelType w:val="hybridMultilevel"/>
    <w:tmpl w:val="7374A2CA"/>
    <w:lvl w:ilvl="0" w:tplc="C3C637D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3D65"/>
    <w:multiLevelType w:val="hybridMultilevel"/>
    <w:tmpl w:val="C3FAF016"/>
    <w:lvl w:ilvl="0" w:tplc="2BB65C2E">
      <w:start w:val="1"/>
      <w:numFmt w:val="bullet"/>
      <w:pStyle w:val="Bullet1"/>
      <w:lvlText w:val=""/>
      <w:lvlJc w:val="left"/>
      <w:pPr>
        <w:ind w:left="720" w:hanging="360"/>
      </w:pPr>
      <w:rPr>
        <w:rFonts w:ascii="Symbol" w:hAnsi="Symbol" w:hint="default"/>
      </w:rPr>
    </w:lvl>
    <w:lvl w:ilvl="1" w:tplc="2FF66048">
      <w:start w:val="1"/>
      <w:numFmt w:val="bullet"/>
      <w:pStyle w:val="bullet2"/>
      <w:lvlText w:val="o"/>
      <w:lvlJc w:val="left"/>
      <w:pPr>
        <w:ind w:left="1440" w:hanging="360"/>
      </w:pPr>
      <w:rPr>
        <w:rFonts w:ascii="Courier New" w:hAnsi="Courier New" w:cs="Courier New" w:hint="default"/>
      </w:rPr>
    </w:lvl>
    <w:lvl w:ilvl="2" w:tplc="756E84C0">
      <w:start w:val="1"/>
      <w:numFmt w:val="bullet"/>
      <w:pStyle w:val="Bullet3"/>
      <w:lvlText w:val=""/>
      <w:lvlJc w:val="left"/>
      <w:pPr>
        <w:ind w:left="2160" w:hanging="360"/>
      </w:pPr>
      <w:rPr>
        <w:rFonts w:ascii="Wingdings" w:hAnsi="Wingdings" w:hint="default"/>
      </w:rPr>
    </w:lvl>
    <w:lvl w:ilvl="3" w:tplc="777C7586">
      <w:start w:val="1"/>
      <w:numFmt w:val="bullet"/>
      <w:pStyle w:val="Bullet4"/>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486654">
    <w:abstractNumId w:val="11"/>
  </w:num>
  <w:num w:numId="2" w16cid:durableId="1949921835">
    <w:abstractNumId w:val="0"/>
  </w:num>
  <w:num w:numId="3" w16cid:durableId="575171156">
    <w:abstractNumId w:val="1"/>
  </w:num>
  <w:num w:numId="4" w16cid:durableId="1510606617">
    <w:abstractNumId w:val="2"/>
  </w:num>
  <w:num w:numId="5" w16cid:durableId="342821078">
    <w:abstractNumId w:val="3"/>
  </w:num>
  <w:num w:numId="6" w16cid:durableId="2076387340">
    <w:abstractNumId w:val="8"/>
  </w:num>
  <w:num w:numId="7" w16cid:durableId="19085997">
    <w:abstractNumId w:val="4"/>
  </w:num>
  <w:num w:numId="8" w16cid:durableId="381909839">
    <w:abstractNumId w:val="5"/>
  </w:num>
  <w:num w:numId="9" w16cid:durableId="364721810">
    <w:abstractNumId w:val="6"/>
  </w:num>
  <w:num w:numId="10" w16cid:durableId="1454977825">
    <w:abstractNumId w:val="7"/>
  </w:num>
  <w:num w:numId="11" w16cid:durableId="334112471">
    <w:abstractNumId w:val="9"/>
  </w:num>
  <w:num w:numId="12" w16cid:durableId="27025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308"/>
    <w:rsid w:val="00003853"/>
    <w:rsid w:val="00005293"/>
    <w:rsid w:val="00010F7C"/>
    <w:rsid w:val="00012DD1"/>
    <w:rsid w:val="00015BAC"/>
    <w:rsid w:val="00016318"/>
    <w:rsid w:val="00026400"/>
    <w:rsid w:val="00047168"/>
    <w:rsid w:val="00051696"/>
    <w:rsid w:val="000A228E"/>
    <w:rsid w:val="000B12B9"/>
    <w:rsid w:val="000B6354"/>
    <w:rsid w:val="000D253B"/>
    <w:rsid w:val="00103CEE"/>
    <w:rsid w:val="0012395E"/>
    <w:rsid w:val="00124EBD"/>
    <w:rsid w:val="001338A9"/>
    <w:rsid w:val="00147F4C"/>
    <w:rsid w:val="001525B7"/>
    <w:rsid w:val="001677B3"/>
    <w:rsid w:val="001713E2"/>
    <w:rsid w:val="0017223A"/>
    <w:rsid w:val="001A1DD0"/>
    <w:rsid w:val="001A731C"/>
    <w:rsid w:val="001B1787"/>
    <w:rsid w:val="001B65AF"/>
    <w:rsid w:val="001D1BAE"/>
    <w:rsid w:val="001D5E69"/>
    <w:rsid w:val="001E54B5"/>
    <w:rsid w:val="001F2578"/>
    <w:rsid w:val="0020795B"/>
    <w:rsid w:val="00214364"/>
    <w:rsid w:val="002257E7"/>
    <w:rsid w:val="002262DC"/>
    <w:rsid w:val="00242251"/>
    <w:rsid w:val="00254185"/>
    <w:rsid w:val="00262236"/>
    <w:rsid w:val="002672CD"/>
    <w:rsid w:val="002833BE"/>
    <w:rsid w:val="00283AA5"/>
    <w:rsid w:val="00285351"/>
    <w:rsid w:val="00293236"/>
    <w:rsid w:val="002A1A1D"/>
    <w:rsid w:val="002A4EA0"/>
    <w:rsid w:val="002B6A31"/>
    <w:rsid w:val="002F009F"/>
    <w:rsid w:val="002F3670"/>
    <w:rsid w:val="002F4BE1"/>
    <w:rsid w:val="002F6F35"/>
    <w:rsid w:val="003006FF"/>
    <w:rsid w:val="00320DB8"/>
    <w:rsid w:val="00320F63"/>
    <w:rsid w:val="0032516D"/>
    <w:rsid w:val="00325D4C"/>
    <w:rsid w:val="00334A06"/>
    <w:rsid w:val="0033789E"/>
    <w:rsid w:val="00337F92"/>
    <w:rsid w:val="0034134C"/>
    <w:rsid w:val="003441F5"/>
    <w:rsid w:val="003461C5"/>
    <w:rsid w:val="0037758E"/>
    <w:rsid w:val="00385201"/>
    <w:rsid w:val="00387EC7"/>
    <w:rsid w:val="003A7B74"/>
    <w:rsid w:val="003B5E2E"/>
    <w:rsid w:val="003B7A95"/>
    <w:rsid w:val="003C2828"/>
    <w:rsid w:val="003C3F1C"/>
    <w:rsid w:val="003E120C"/>
    <w:rsid w:val="003E6C01"/>
    <w:rsid w:val="003F0702"/>
    <w:rsid w:val="003F250D"/>
    <w:rsid w:val="00401642"/>
    <w:rsid w:val="0040666B"/>
    <w:rsid w:val="00460E2B"/>
    <w:rsid w:val="0046472C"/>
    <w:rsid w:val="00464BF3"/>
    <w:rsid w:val="00467011"/>
    <w:rsid w:val="00470042"/>
    <w:rsid w:val="004804B4"/>
    <w:rsid w:val="00481316"/>
    <w:rsid w:val="00491016"/>
    <w:rsid w:val="004A4E84"/>
    <w:rsid w:val="004D3CFC"/>
    <w:rsid w:val="004D5C5D"/>
    <w:rsid w:val="004E0204"/>
    <w:rsid w:val="004F775C"/>
    <w:rsid w:val="00505C1E"/>
    <w:rsid w:val="00510609"/>
    <w:rsid w:val="00510690"/>
    <w:rsid w:val="00511960"/>
    <w:rsid w:val="00512988"/>
    <w:rsid w:val="005245EE"/>
    <w:rsid w:val="00532AC9"/>
    <w:rsid w:val="005405E1"/>
    <w:rsid w:val="0055312A"/>
    <w:rsid w:val="00555746"/>
    <w:rsid w:val="0055659A"/>
    <w:rsid w:val="00565237"/>
    <w:rsid w:val="005664C6"/>
    <w:rsid w:val="00576E91"/>
    <w:rsid w:val="00592B4A"/>
    <w:rsid w:val="00595250"/>
    <w:rsid w:val="005A6F7B"/>
    <w:rsid w:val="005D1E02"/>
    <w:rsid w:val="005F79EF"/>
    <w:rsid w:val="00606B98"/>
    <w:rsid w:val="0061663C"/>
    <w:rsid w:val="00625505"/>
    <w:rsid w:val="00633C34"/>
    <w:rsid w:val="006519D8"/>
    <w:rsid w:val="006564A4"/>
    <w:rsid w:val="00661A78"/>
    <w:rsid w:val="006658D6"/>
    <w:rsid w:val="006703C1"/>
    <w:rsid w:val="0067587E"/>
    <w:rsid w:val="0068281D"/>
    <w:rsid w:val="00694C92"/>
    <w:rsid w:val="006C42C6"/>
    <w:rsid w:val="006E5264"/>
    <w:rsid w:val="006F1152"/>
    <w:rsid w:val="006F5AC8"/>
    <w:rsid w:val="007070C2"/>
    <w:rsid w:val="00714728"/>
    <w:rsid w:val="00714E3F"/>
    <w:rsid w:val="00720583"/>
    <w:rsid w:val="007220F9"/>
    <w:rsid w:val="007301F2"/>
    <w:rsid w:val="00730521"/>
    <w:rsid w:val="007427D5"/>
    <w:rsid w:val="00754837"/>
    <w:rsid w:val="007C43F2"/>
    <w:rsid w:val="007D180B"/>
    <w:rsid w:val="007D2954"/>
    <w:rsid w:val="007D5A86"/>
    <w:rsid w:val="007F0652"/>
    <w:rsid w:val="00813105"/>
    <w:rsid w:val="00813A20"/>
    <w:rsid w:val="008252E5"/>
    <w:rsid w:val="00831F5A"/>
    <w:rsid w:val="0085433A"/>
    <w:rsid w:val="00854FDF"/>
    <w:rsid w:val="00855E7F"/>
    <w:rsid w:val="00872AF7"/>
    <w:rsid w:val="008868EF"/>
    <w:rsid w:val="00894EE8"/>
    <w:rsid w:val="00897332"/>
    <w:rsid w:val="008A279E"/>
    <w:rsid w:val="008A4D6A"/>
    <w:rsid w:val="008C1396"/>
    <w:rsid w:val="008C7CA8"/>
    <w:rsid w:val="008C7D87"/>
    <w:rsid w:val="008D3AA6"/>
    <w:rsid w:val="008D4E36"/>
    <w:rsid w:val="008D652C"/>
    <w:rsid w:val="008E3C8A"/>
    <w:rsid w:val="008E439E"/>
    <w:rsid w:val="009030AA"/>
    <w:rsid w:val="00910CF8"/>
    <w:rsid w:val="0091599D"/>
    <w:rsid w:val="0093669F"/>
    <w:rsid w:val="00941DF5"/>
    <w:rsid w:val="00951FA0"/>
    <w:rsid w:val="00954596"/>
    <w:rsid w:val="00967093"/>
    <w:rsid w:val="00972933"/>
    <w:rsid w:val="00976B21"/>
    <w:rsid w:val="0098232E"/>
    <w:rsid w:val="00991532"/>
    <w:rsid w:val="009A0F26"/>
    <w:rsid w:val="009B737D"/>
    <w:rsid w:val="009C1514"/>
    <w:rsid w:val="009C5678"/>
    <w:rsid w:val="009F04CF"/>
    <w:rsid w:val="00A05BEA"/>
    <w:rsid w:val="00A25192"/>
    <w:rsid w:val="00A34E63"/>
    <w:rsid w:val="00A43307"/>
    <w:rsid w:val="00A604A3"/>
    <w:rsid w:val="00A606EA"/>
    <w:rsid w:val="00A62744"/>
    <w:rsid w:val="00A73234"/>
    <w:rsid w:val="00A74DEB"/>
    <w:rsid w:val="00A83797"/>
    <w:rsid w:val="00A86174"/>
    <w:rsid w:val="00A92AB0"/>
    <w:rsid w:val="00A9618D"/>
    <w:rsid w:val="00A9641C"/>
    <w:rsid w:val="00AA68BF"/>
    <w:rsid w:val="00AB6F92"/>
    <w:rsid w:val="00AC37D3"/>
    <w:rsid w:val="00AD1147"/>
    <w:rsid w:val="00AD17E8"/>
    <w:rsid w:val="00AD6565"/>
    <w:rsid w:val="00AF56C9"/>
    <w:rsid w:val="00B12A87"/>
    <w:rsid w:val="00B22F02"/>
    <w:rsid w:val="00B24E37"/>
    <w:rsid w:val="00B36099"/>
    <w:rsid w:val="00B405C2"/>
    <w:rsid w:val="00B44240"/>
    <w:rsid w:val="00B47C17"/>
    <w:rsid w:val="00B64E93"/>
    <w:rsid w:val="00B80DDB"/>
    <w:rsid w:val="00B844D3"/>
    <w:rsid w:val="00B95F31"/>
    <w:rsid w:val="00BA18A4"/>
    <w:rsid w:val="00BA5C18"/>
    <w:rsid w:val="00BB7B5E"/>
    <w:rsid w:val="00BC41C6"/>
    <w:rsid w:val="00BC5F76"/>
    <w:rsid w:val="00BD01D8"/>
    <w:rsid w:val="00BE14E3"/>
    <w:rsid w:val="00BF53A7"/>
    <w:rsid w:val="00BF74AB"/>
    <w:rsid w:val="00C05378"/>
    <w:rsid w:val="00C1358E"/>
    <w:rsid w:val="00C3372A"/>
    <w:rsid w:val="00C376FB"/>
    <w:rsid w:val="00C408D7"/>
    <w:rsid w:val="00C415B7"/>
    <w:rsid w:val="00C45A34"/>
    <w:rsid w:val="00C57E17"/>
    <w:rsid w:val="00C71CE4"/>
    <w:rsid w:val="00C752F0"/>
    <w:rsid w:val="00C812A6"/>
    <w:rsid w:val="00C849CD"/>
    <w:rsid w:val="00C84BBB"/>
    <w:rsid w:val="00CA08AF"/>
    <w:rsid w:val="00CA6C30"/>
    <w:rsid w:val="00CB6E3B"/>
    <w:rsid w:val="00CC061A"/>
    <w:rsid w:val="00CC236D"/>
    <w:rsid w:val="00CC6762"/>
    <w:rsid w:val="00CF1750"/>
    <w:rsid w:val="00CF7397"/>
    <w:rsid w:val="00D05C82"/>
    <w:rsid w:val="00D10027"/>
    <w:rsid w:val="00D3163C"/>
    <w:rsid w:val="00D33A11"/>
    <w:rsid w:val="00D34239"/>
    <w:rsid w:val="00D5073B"/>
    <w:rsid w:val="00D55E92"/>
    <w:rsid w:val="00D60A2B"/>
    <w:rsid w:val="00D638EA"/>
    <w:rsid w:val="00D73C1B"/>
    <w:rsid w:val="00D81114"/>
    <w:rsid w:val="00D83A24"/>
    <w:rsid w:val="00D860B0"/>
    <w:rsid w:val="00D91D7B"/>
    <w:rsid w:val="00D97413"/>
    <w:rsid w:val="00DB1B6B"/>
    <w:rsid w:val="00DB286B"/>
    <w:rsid w:val="00DB652F"/>
    <w:rsid w:val="00DD601D"/>
    <w:rsid w:val="00DE3195"/>
    <w:rsid w:val="00DE5C0A"/>
    <w:rsid w:val="00DF64F7"/>
    <w:rsid w:val="00E21AD0"/>
    <w:rsid w:val="00E24E89"/>
    <w:rsid w:val="00E3681A"/>
    <w:rsid w:val="00E6195E"/>
    <w:rsid w:val="00E62DDD"/>
    <w:rsid w:val="00E77A0A"/>
    <w:rsid w:val="00E873BD"/>
    <w:rsid w:val="00E91E89"/>
    <w:rsid w:val="00E97625"/>
    <w:rsid w:val="00EA7140"/>
    <w:rsid w:val="00ED12F5"/>
    <w:rsid w:val="00EE33CE"/>
    <w:rsid w:val="00EE7192"/>
    <w:rsid w:val="00EF3EAA"/>
    <w:rsid w:val="00F20633"/>
    <w:rsid w:val="00F3138F"/>
    <w:rsid w:val="00F43CD3"/>
    <w:rsid w:val="00F47308"/>
    <w:rsid w:val="00F47D22"/>
    <w:rsid w:val="00F56D07"/>
    <w:rsid w:val="00F60984"/>
    <w:rsid w:val="00F60FC8"/>
    <w:rsid w:val="00F77DAC"/>
    <w:rsid w:val="00F82864"/>
    <w:rsid w:val="00F867C6"/>
    <w:rsid w:val="00F96634"/>
    <w:rsid w:val="00F96809"/>
    <w:rsid w:val="00FA0A8B"/>
    <w:rsid w:val="00FA51C5"/>
    <w:rsid w:val="00FB1019"/>
    <w:rsid w:val="00FB4E60"/>
    <w:rsid w:val="00FC2837"/>
    <w:rsid w:val="00FE6C87"/>
    <w:rsid w:val="01F7D8BF"/>
    <w:rsid w:val="02BDA595"/>
    <w:rsid w:val="04DE426C"/>
    <w:rsid w:val="05443ABB"/>
    <w:rsid w:val="08A75F1C"/>
    <w:rsid w:val="0996D5BB"/>
    <w:rsid w:val="09E8CE9D"/>
    <w:rsid w:val="0BB69AE7"/>
    <w:rsid w:val="0C606F71"/>
    <w:rsid w:val="0C718D68"/>
    <w:rsid w:val="0CCE767D"/>
    <w:rsid w:val="0D23CF5C"/>
    <w:rsid w:val="0D9D84C4"/>
    <w:rsid w:val="0E3CC06C"/>
    <w:rsid w:val="0E7F98F8"/>
    <w:rsid w:val="0E8F331B"/>
    <w:rsid w:val="0F420D70"/>
    <w:rsid w:val="0F7CBE2A"/>
    <w:rsid w:val="118A2C37"/>
    <w:rsid w:val="147C9F4D"/>
    <w:rsid w:val="17B2D354"/>
    <w:rsid w:val="18A22F6C"/>
    <w:rsid w:val="1B21CBB9"/>
    <w:rsid w:val="1B60BAC0"/>
    <w:rsid w:val="1C5DE34C"/>
    <w:rsid w:val="1DC31F9E"/>
    <w:rsid w:val="204FF253"/>
    <w:rsid w:val="20F9ADB7"/>
    <w:rsid w:val="217FF934"/>
    <w:rsid w:val="23DF96A8"/>
    <w:rsid w:val="246F4DA7"/>
    <w:rsid w:val="24D154BE"/>
    <w:rsid w:val="263680FE"/>
    <w:rsid w:val="265E1EAA"/>
    <w:rsid w:val="28833D69"/>
    <w:rsid w:val="28A4FE6F"/>
    <w:rsid w:val="28FF8C74"/>
    <w:rsid w:val="2A51B1E9"/>
    <w:rsid w:val="2AD5E40B"/>
    <w:rsid w:val="2B0D1C82"/>
    <w:rsid w:val="2B734B37"/>
    <w:rsid w:val="2C080CA7"/>
    <w:rsid w:val="2CBF06BE"/>
    <w:rsid w:val="2F143FF3"/>
    <w:rsid w:val="2F9D3344"/>
    <w:rsid w:val="2FCB496F"/>
    <w:rsid w:val="305B7AA3"/>
    <w:rsid w:val="30879260"/>
    <w:rsid w:val="30B01054"/>
    <w:rsid w:val="30F8D024"/>
    <w:rsid w:val="317C099C"/>
    <w:rsid w:val="33478680"/>
    <w:rsid w:val="33E207C4"/>
    <w:rsid w:val="34576878"/>
    <w:rsid w:val="34E4D9B0"/>
    <w:rsid w:val="35838177"/>
    <w:rsid w:val="364B038B"/>
    <w:rsid w:val="3669F6A2"/>
    <w:rsid w:val="367B0C8B"/>
    <w:rsid w:val="3911C7DC"/>
    <w:rsid w:val="3972C8B6"/>
    <w:rsid w:val="3B80CE7A"/>
    <w:rsid w:val="3BE9375C"/>
    <w:rsid w:val="3C12432D"/>
    <w:rsid w:val="3CA3A8B9"/>
    <w:rsid w:val="3D2A8098"/>
    <w:rsid w:val="3D6B92F5"/>
    <w:rsid w:val="4099D163"/>
    <w:rsid w:val="40CE21A4"/>
    <w:rsid w:val="413C64A2"/>
    <w:rsid w:val="44D213CD"/>
    <w:rsid w:val="44EA42C0"/>
    <w:rsid w:val="4556C70B"/>
    <w:rsid w:val="473D6328"/>
    <w:rsid w:val="47607AE6"/>
    <w:rsid w:val="47E1818B"/>
    <w:rsid w:val="480313AA"/>
    <w:rsid w:val="48CD3BD5"/>
    <w:rsid w:val="48ECC133"/>
    <w:rsid w:val="497395F0"/>
    <w:rsid w:val="497F2746"/>
    <w:rsid w:val="49E1610D"/>
    <w:rsid w:val="4C3BD866"/>
    <w:rsid w:val="4DBC0F48"/>
    <w:rsid w:val="4EE42857"/>
    <w:rsid w:val="4F30DA01"/>
    <w:rsid w:val="51B75820"/>
    <w:rsid w:val="51BEE004"/>
    <w:rsid w:val="53B82BB2"/>
    <w:rsid w:val="5402BDD3"/>
    <w:rsid w:val="54032375"/>
    <w:rsid w:val="55FE719E"/>
    <w:rsid w:val="57019937"/>
    <w:rsid w:val="5811AF33"/>
    <w:rsid w:val="5D455363"/>
    <w:rsid w:val="5DEDCDBA"/>
    <w:rsid w:val="5F26565D"/>
    <w:rsid w:val="5FA624FD"/>
    <w:rsid w:val="60319F8E"/>
    <w:rsid w:val="610D2BF8"/>
    <w:rsid w:val="6114C74B"/>
    <w:rsid w:val="6176E98D"/>
    <w:rsid w:val="61D91163"/>
    <w:rsid w:val="6218C486"/>
    <w:rsid w:val="631432D8"/>
    <w:rsid w:val="64068267"/>
    <w:rsid w:val="69891F15"/>
    <w:rsid w:val="6A15EC8F"/>
    <w:rsid w:val="6A54DF47"/>
    <w:rsid w:val="6CA959B7"/>
    <w:rsid w:val="6CAFB12A"/>
    <w:rsid w:val="6E8DEA71"/>
    <w:rsid w:val="702621F8"/>
    <w:rsid w:val="751AE7F8"/>
    <w:rsid w:val="7540F47E"/>
    <w:rsid w:val="75C3C3E2"/>
    <w:rsid w:val="760906FD"/>
    <w:rsid w:val="7667C83E"/>
    <w:rsid w:val="77D1905D"/>
    <w:rsid w:val="77E86146"/>
    <w:rsid w:val="786A297D"/>
    <w:rsid w:val="788CEEFD"/>
    <w:rsid w:val="78E0DEE1"/>
    <w:rsid w:val="7978C46A"/>
    <w:rsid w:val="7AB1C7D4"/>
    <w:rsid w:val="7F75B884"/>
    <w:rsid w:val="7F7D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FFC61B"/>
  <w14:defaultImageDpi w14:val="32767"/>
  <w15:chartTrackingRefBased/>
  <w15:docId w15:val="{F65DE0BE-5CF4-754F-8564-A01EA31C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C849CD"/>
    <w:pPr>
      <w:spacing w:after="200" w:line="276" w:lineRule="auto"/>
    </w:pPr>
    <w:rPr>
      <w:sz w:val="22"/>
      <w:szCs w:val="22"/>
    </w:rPr>
  </w:style>
  <w:style w:type="paragraph" w:styleId="Heading1">
    <w:name w:val="heading 1"/>
    <w:basedOn w:val="Normal"/>
    <w:next w:val="Normal"/>
    <w:link w:val="Heading1Char"/>
    <w:uiPriority w:val="9"/>
    <w:rsid w:val="00C849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Section3Title"/>
    <w:link w:val="Heading2Char"/>
    <w:autoRedefine/>
    <w:qFormat/>
    <w:rsid w:val="00C849CD"/>
    <w:pPr>
      <w:spacing w:after="0" w:line="240" w:lineRule="auto"/>
      <w:outlineLvl w:val="1"/>
    </w:pPr>
    <w:rPr>
      <w:b/>
      <w:bCs/>
      <w:sz w:val="28"/>
      <w:szCs w:val="28"/>
    </w:rPr>
  </w:style>
  <w:style w:type="paragraph" w:styleId="Heading7">
    <w:name w:val="heading 7"/>
    <w:basedOn w:val="Normal"/>
    <w:next w:val="Normal"/>
    <w:link w:val="Heading7Char"/>
    <w:uiPriority w:val="9"/>
    <w:unhideWhenUsed/>
    <w:qFormat/>
    <w:rsid w:val="00F47308"/>
    <w:pPr>
      <w:keepNext/>
      <w:outlineLvl w:val="6"/>
    </w:pPr>
    <w:rPr>
      <w:rFonts w:eastAsia="Times New Roman"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footertitle">
    <w:name w:val="document footer title"/>
    <w:autoRedefine/>
    <w:qFormat/>
    <w:rsid w:val="00C849CD"/>
    <w:pPr>
      <w:contextualSpacing/>
      <w:jc w:val="right"/>
    </w:pPr>
    <w:rPr>
      <w:color w:val="000000" w:themeColor="text1"/>
      <w:sz w:val="18"/>
      <w:szCs w:val="18"/>
    </w:rPr>
  </w:style>
  <w:style w:type="table" w:styleId="TableGrid">
    <w:name w:val="Table Grid"/>
    <w:basedOn w:val="TableNormal"/>
    <w:uiPriority w:val="39"/>
    <w:rsid w:val="00C849CD"/>
    <w:pPr>
      <w:spacing w:after="200" w:line="276"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textcallout">
    <w:name w:val="Red text callout"/>
    <w:basedOn w:val="BodyText1"/>
    <w:qFormat/>
    <w:rsid w:val="00C849CD"/>
    <w:rPr>
      <w:color w:val="C00000"/>
    </w:rPr>
  </w:style>
  <w:style w:type="paragraph" w:styleId="Header">
    <w:name w:val="header"/>
    <w:basedOn w:val="Normal"/>
    <w:link w:val="HeaderChar"/>
    <w:uiPriority w:val="99"/>
    <w:unhideWhenUsed/>
    <w:rsid w:val="00C849CD"/>
    <w:pPr>
      <w:tabs>
        <w:tab w:val="center" w:pos="4680"/>
        <w:tab w:val="right" w:pos="9360"/>
      </w:tabs>
    </w:pPr>
  </w:style>
  <w:style w:type="character" w:styleId="PageNumber">
    <w:name w:val="page number"/>
    <w:basedOn w:val="DefaultParagraphFont"/>
    <w:uiPriority w:val="99"/>
    <w:semiHidden/>
    <w:unhideWhenUsed/>
    <w:rsid w:val="00C849CD"/>
  </w:style>
  <w:style w:type="paragraph" w:customStyle="1" w:styleId="Headertitle">
    <w:name w:val="Header title"/>
    <w:autoRedefine/>
    <w:qFormat/>
    <w:rsid w:val="00C849CD"/>
    <w:pPr>
      <w:spacing w:after="200"/>
      <w:contextualSpacing/>
      <w:jc w:val="center"/>
    </w:pPr>
    <w:rPr>
      <w:sz w:val="56"/>
      <w:szCs w:val="72"/>
    </w:rPr>
  </w:style>
  <w:style w:type="paragraph" w:customStyle="1" w:styleId="Section1title">
    <w:name w:val="Section 1 title"/>
    <w:basedOn w:val="Normal"/>
    <w:qFormat/>
    <w:rsid w:val="00C849CD"/>
    <w:rPr>
      <w:b/>
      <w:bCs/>
      <w:sz w:val="32"/>
      <w:szCs w:val="32"/>
    </w:rPr>
  </w:style>
  <w:style w:type="paragraph" w:customStyle="1" w:styleId="bullet2">
    <w:name w:val="bullet 2"/>
    <w:basedOn w:val="Bullet1"/>
    <w:qFormat/>
    <w:rsid w:val="00C849CD"/>
    <w:pPr>
      <w:numPr>
        <w:ilvl w:val="1"/>
      </w:numPr>
    </w:pPr>
  </w:style>
  <w:style w:type="character" w:customStyle="1" w:styleId="HeaderChar">
    <w:name w:val="Header Char"/>
    <w:basedOn w:val="DefaultParagraphFont"/>
    <w:link w:val="Header"/>
    <w:uiPriority w:val="99"/>
    <w:rsid w:val="00C849CD"/>
    <w:rPr>
      <w:sz w:val="22"/>
      <w:szCs w:val="22"/>
    </w:rPr>
  </w:style>
  <w:style w:type="paragraph" w:customStyle="1" w:styleId="Bullet1">
    <w:name w:val="Bullet 1"/>
    <w:basedOn w:val="BodyText"/>
    <w:qFormat/>
    <w:rsid w:val="00C849CD"/>
    <w:pPr>
      <w:numPr>
        <w:numId w:val="1"/>
      </w:numPr>
    </w:pPr>
  </w:style>
  <w:style w:type="paragraph" w:customStyle="1" w:styleId="BodyText1">
    <w:name w:val="Body Text1"/>
    <w:qFormat/>
    <w:rsid w:val="00C849CD"/>
    <w:pPr>
      <w:spacing w:after="200" w:line="276" w:lineRule="auto"/>
    </w:pPr>
    <w:rPr>
      <w:sz w:val="22"/>
      <w:szCs w:val="22"/>
    </w:rPr>
  </w:style>
  <w:style w:type="paragraph" w:styleId="BodyText">
    <w:name w:val="Body Text"/>
    <w:basedOn w:val="Normal"/>
    <w:link w:val="BodyTextChar"/>
    <w:uiPriority w:val="99"/>
    <w:unhideWhenUsed/>
    <w:rsid w:val="00C849CD"/>
    <w:pPr>
      <w:spacing w:after="120"/>
    </w:pPr>
  </w:style>
  <w:style w:type="character" w:customStyle="1" w:styleId="BodyTextChar">
    <w:name w:val="Body Text Char"/>
    <w:basedOn w:val="DefaultParagraphFont"/>
    <w:link w:val="BodyText"/>
    <w:uiPriority w:val="99"/>
    <w:rsid w:val="00C849CD"/>
    <w:rPr>
      <w:sz w:val="22"/>
      <w:szCs w:val="22"/>
    </w:rPr>
  </w:style>
  <w:style w:type="paragraph" w:customStyle="1" w:styleId="Bullet3">
    <w:name w:val="Bullet 3"/>
    <w:basedOn w:val="Bullet1"/>
    <w:qFormat/>
    <w:rsid w:val="00C849CD"/>
    <w:pPr>
      <w:numPr>
        <w:ilvl w:val="2"/>
      </w:numPr>
    </w:pPr>
  </w:style>
  <w:style w:type="paragraph" w:customStyle="1" w:styleId="Bullet4">
    <w:name w:val="Bullet 4"/>
    <w:basedOn w:val="Bullet1"/>
    <w:qFormat/>
    <w:rsid w:val="00C849CD"/>
    <w:pPr>
      <w:numPr>
        <w:ilvl w:val="3"/>
      </w:numPr>
    </w:pPr>
  </w:style>
  <w:style w:type="paragraph" w:customStyle="1" w:styleId="Reference">
    <w:name w:val="Reference"/>
    <w:qFormat/>
    <w:rsid w:val="00C849CD"/>
    <w:pPr>
      <w:spacing w:after="200" w:line="276" w:lineRule="auto"/>
    </w:pPr>
    <w:rPr>
      <w:i/>
      <w:iCs/>
      <w:sz w:val="20"/>
      <w:szCs w:val="20"/>
    </w:rPr>
  </w:style>
  <w:style w:type="paragraph" w:customStyle="1" w:styleId="Section2Title">
    <w:name w:val="Section 2 Title"/>
    <w:qFormat/>
    <w:rsid w:val="00C849CD"/>
    <w:pPr>
      <w:spacing w:after="200" w:line="276" w:lineRule="auto"/>
    </w:pPr>
    <w:rPr>
      <w:b/>
      <w:bCs/>
      <w:sz w:val="28"/>
      <w:szCs w:val="28"/>
    </w:rPr>
  </w:style>
  <w:style w:type="paragraph" w:customStyle="1" w:styleId="Section3Title">
    <w:name w:val="Section 3 Title"/>
    <w:qFormat/>
    <w:rsid w:val="00C849CD"/>
    <w:pPr>
      <w:spacing w:after="200" w:line="276" w:lineRule="auto"/>
    </w:pPr>
    <w:rPr>
      <w:i/>
      <w:iCs/>
      <w:sz w:val="22"/>
      <w:szCs w:val="22"/>
    </w:rPr>
  </w:style>
  <w:style w:type="character" w:customStyle="1" w:styleId="Heading1Char">
    <w:name w:val="Heading 1 Char"/>
    <w:basedOn w:val="DefaultParagraphFont"/>
    <w:link w:val="Heading1"/>
    <w:uiPriority w:val="9"/>
    <w:rsid w:val="00C849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C849CD"/>
    <w:rPr>
      <w:b/>
      <w:bCs/>
      <w:sz w:val="28"/>
      <w:szCs w:val="28"/>
    </w:rPr>
  </w:style>
  <w:style w:type="paragraph" w:styleId="Footer">
    <w:name w:val="footer"/>
    <w:basedOn w:val="Normal"/>
    <w:link w:val="FooterChar"/>
    <w:uiPriority w:val="99"/>
    <w:unhideWhenUsed/>
    <w:rsid w:val="00C849CD"/>
    <w:pPr>
      <w:tabs>
        <w:tab w:val="center" w:pos="4680"/>
        <w:tab w:val="right" w:pos="9360"/>
      </w:tabs>
    </w:pPr>
    <w:rPr>
      <w:sz w:val="18"/>
      <w:szCs w:val="18"/>
    </w:rPr>
  </w:style>
  <w:style w:type="character" w:customStyle="1" w:styleId="FooterChar">
    <w:name w:val="Footer Char"/>
    <w:basedOn w:val="DefaultParagraphFont"/>
    <w:link w:val="Footer"/>
    <w:uiPriority w:val="99"/>
    <w:rsid w:val="00C849CD"/>
    <w:rPr>
      <w:sz w:val="18"/>
      <w:szCs w:val="18"/>
    </w:rPr>
  </w:style>
  <w:style w:type="character" w:customStyle="1" w:styleId="Heading7Char">
    <w:name w:val="Heading 7 Char"/>
    <w:basedOn w:val="DefaultParagraphFont"/>
    <w:link w:val="Heading7"/>
    <w:uiPriority w:val="9"/>
    <w:rsid w:val="00F47308"/>
    <w:rPr>
      <w:rFonts w:eastAsia="Times New Roman" w:cs="Times New Roman"/>
      <w:b/>
      <w:bCs/>
      <w:color w:val="000000"/>
      <w:sz w:val="22"/>
      <w:szCs w:val="22"/>
    </w:rPr>
  </w:style>
  <w:style w:type="table" w:styleId="GridTable2-Accent3">
    <w:name w:val="Grid Table 2 Accent 3"/>
    <w:basedOn w:val="TableNormal"/>
    <w:uiPriority w:val="47"/>
    <w:rsid w:val="00F47308"/>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F4730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D97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413"/>
    <w:rPr>
      <w:rFonts w:ascii="Segoe UI" w:hAnsi="Segoe UI" w:cs="Segoe UI"/>
      <w:sz w:val="18"/>
      <w:szCs w:val="18"/>
    </w:rPr>
  </w:style>
  <w:style w:type="character" w:styleId="CommentReference">
    <w:name w:val="annotation reference"/>
    <w:basedOn w:val="DefaultParagraphFont"/>
    <w:uiPriority w:val="99"/>
    <w:semiHidden/>
    <w:unhideWhenUsed/>
    <w:rsid w:val="00730521"/>
    <w:rPr>
      <w:sz w:val="16"/>
      <w:szCs w:val="16"/>
    </w:rPr>
  </w:style>
  <w:style w:type="paragraph" w:styleId="CommentText">
    <w:name w:val="annotation text"/>
    <w:basedOn w:val="Normal"/>
    <w:link w:val="CommentTextChar"/>
    <w:uiPriority w:val="99"/>
    <w:semiHidden/>
    <w:unhideWhenUsed/>
    <w:rsid w:val="00730521"/>
    <w:rPr>
      <w:sz w:val="20"/>
      <w:szCs w:val="20"/>
    </w:rPr>
  </w:style>
  <w:style w:type="character" w:customStyle="1" w:styleId="CommentTextChar">
    <w:name w:val="Comment Text Char"/>
    <w:basedOn w:val="DefaultParagraphFont"/>
    <w:link w:val="CommentText"/>
    <w:uiPriority w:val="99"/>
    <w:semiHidden/>
    <w:rsid w:val="00730521"/>
    <w:rPr>
      <w:sz w:val="20"/>
      <w:szCs w:val="20"/>
    </w:rPr>
  </w:style>
  <w:style w:type="paragraph" w:styleId="CommentSubject">
    <w:name w:val="annotation subject"/>
    <w:basedOn w:val="CommentText"/>
    <w:next w:val="CommentText"/>
    <w:link w:val="CommentSubjectChar"/>
    <w:uiPriority w:val="99"/>
    <w:semiHidden/>
    <w:unhideWhenUsed/>
    <w:rsid w:val="00730521"/>
    <w:rPr>
      <w:b/>
      <w:bCs/>
    </w:rPr>
  </w:style>
  <w:style w:type="character" w:customStyle="1" w:styleId="CommentSubjectChar">
    <w:name w:val="Comment Subject Char"/>
    <w:basedOn w:val="CommentTextChar"/>
    <w:link w:val="CommentSubject"/>
    <w:uiPriority w:val="99"/>
    <w:semiHidden/>
    <w:rsid w:val="00730521"/>
    <w:rPr>
      <w:b/>
      <w:bCs/>
      <w:sz w:val="20"/>
      <w:szCs w:val="20"/>
    </w:rPr>
  </w:style>
  <w:style w:type="paragraph" w:styleId="Title">
    <w:name w:val="Title"/>
    <w:aliases w:val="Toolkit Title"/>
    <w:basedOn w:val="Normal"/>
    <w:link w:val="TitleChar"/>
    <w:autoRedefine/>
    <w:qFormat/>
    <w:rsid w:val="00C849CD"/>
    <w:pPr>
      <w:keepNext/>
      <w:keepLines/>
      <w:pBdr>
        <w:bottom w:val="single" w:sz="4" w:space="1" w:color="5B9BD5"/>
      </w:pBdr>
      <w:spacing w:before="360" w:after="240" w:line="240" w:lineRule="auto"/>
      <w:contextualSpacing/>
      <w:outlineLvl w:val="0"/>
    </w:pPr>
    <w:rPr>
      <w:rFonts w:ascii="Calibri" w:eastAsia="MS Gothic" w:hAnsi="Calibri" w:cstheme="majorBidi"/>
      <w:bCs/>
      <w:kern w:val="28"/>
      <w:sz w:val="40"/>
      <w:szCs w:val="32"/>
    </w:rPr>
  </w:style>
  <w:style w:type="character" w:customStyle="1" w:styleId="TitleChar">
    <w:name w:val="Title Char"/>
    <w:aliases w:val="Toolkit Title Char"/>
    <w:basedOn w:val="DefaultParagraphFont"/>
    <w:link w:val="Title"/>
    <w:rsid w:val="00C849CD"/>
    <w:rPr>
      <w:rFonts w:ascii="Calibri" w:eastAsia="MS Gothic" w:hAnsi="Calibri" w:cstheme="majorBidi"/>
      <w:bCs/>
      <w:kern w:val="28"/>
      <w:sz w:val="40"/>
      <w:szCs w:val="32"/>
    </w:rPr>
  </w:style>
  <w:style w:type="paragraph" w:styleId="Subtitle">
    <w:name w:val="Subtitle"/>
    <w:basedOn w:val="Normal"/>
    <w:next w:val="Normal"/>
    <w:link w:val="SubtitleChar"/>
    <w:uiPriority w:val="11"/>
    <w:rsid w:val="00C849C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849CD"/>
    <w:rPr>
      <w:rFonts w:eastAsiaTheme="minorEastAsia"/>
      <w:color w:val="5A5A5A" w:themeColor="text1" w:themeTint="A5"/>
      <w:spacing w:val="15"/>
      <w:sz w:val="22"/>
      <w:szCs w:val="22"/>
    </w:rPr>
  </w:style>
  <w:style w:type="paragraph" w:customStyle="1" w:styleId="TableParagraph">
    <w:name w:val="Table Paragraph"/>
    <w:basedOn w:val="Normal"/>
    <w:uiPriority w:val="1"/>
    <w:qFormat/>
    <w:rsid w:val="00C849CD"/>
    <w:pPr>
      <w:widowControl w:val="0"/>
      <w:autoSpaceDE w:val="0"/>
      <w:autoSpaceDN w:val="0"/>
    </w:pPr>
    <w:rPr>
      <w:rFonts w:ascii="Calibri" w:eastAsia="Calibri" w:hAnsi="Calibri" w:cs="Calibri"/>
      <w:lang w:bidi="en-US"/>
    </w:rPr>
  </w:style>
  <w:style w:type="character" w:styleId="Hyperlink">
    <w:name w:val="Hyperlink"/>
    <w:basedOn w:val="DefaultParagraphFont"/>
    <w:uiPriority w:val="99"/>
    <w:unhideWhenUsed/>
    <w:rsid w:val="00C849CD"/>
    <w:rPr>
      <w:color w:val="0563C1" w:themeColor="hyperlink"/>
      <w:u w:val="single"/>
    </w:rPr>
  </w:style>
  <w:style w:type="paragraph" w:styleId="ListParagraph">
    <w:name w:val="List Paragraph"/>
    <w:basedOn w:val="Normal"/>
    <w:uiPriority w:val="34"/>
    <w:rsid w:val="00C849CD"/>
    <w:pPr>
      <w:ind w:left="720"/>
      <w:contextualSpacing/>
    </w:pPr>
  </w:style>
  <w:style w:type="character" w:styleId="Emphasis">
    <w:name w:val="Emphasis"/>
    <w:basedOn w:val="DefaultParagraphFont"/>
    <w:uiPriority w:val="20"/>
    <w:rsid w:val="00C849CD"/>
    <w:rPr>
      <w:i/>
      <w:iCs/>
    </w:rPr>
  </w:style>
  <w:style w:type="paragraph" w:styleId="Revision">
    <w:name w:val="Revision"/>
    <w:hidden/>
    <w:uiPriority w:val="99"/>
    <w:semiHidden/>
    <w:rsid w:val="00EA7140"/>
    <w:rPr>
      <w:sz w:val="22"/>
      <w:szCs w:val="22"/>
    </w:rPr>
  </w:style>
  <w:style w:type="table" w:styleId="GridTable1Light">
    <w:name w:val="Grid Table 1 Light"/>
    <w:basedOn w:val="TableNormal"/>
    <w:uiPriority w:val="46"/>
    <w:rsid w:val="006C42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7223A"/>
    <w:rPr>
      <w:color w:val="605E5C"/>
      <w:shd w:val="clear" w:color="auto" w:fill="E1DFDD"/>
    </w:rPr>
  </w:style>
  <w:style w:type="paragraph" w:customStyle="1" w:styleId="ToolkitDocumentTitle">
    <w:name w:val="Toolkit Document Title"/>
    <w:basedOn w:val="Title"/>
    <w:autoRedefine/>
    <w:qFormat/>
    <w:rsid w:val="00C849CD"/>
    <w:pPr>
      <w:spacing w:before="240" w:after="120"/>
    </w:pPr>
    <w:rPr>
      <w:bCs w:val="0"/>
      <w:sz w:val="32"/>
    </w:rPr>
  </w:style>
  <w:style w:type="character" w:styleId="FollowedHyperlink">
    <w:name w:val="FollowedHyperlink"/>
    <w:basedOn w:val="DefaultParagraphFont"/>
    <w:uiPriority w:val="99"/>
    <w:semiHidden/>
    <w:unhideWhenUsed/>
    <w:rsid w:val="00CB6E3B"/>
    <w:rPr>
      <w:color w:val="954F72" w:themeColor="followedHyperlink"/>
      <w:u w:val="single"/>
    </w:rPr>
  </w:style>
  <w:style w:type="paragraph" w:customStyle="1" w:styleId="StyleReference12ptText1">
    <w:name w:val="Style Reference + 12 pt Text 1"/>
    <w:basedOn w:val="Reference"/>
    <w:rsid w:val="00B47C17"/>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81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sites/default/files/wysiwyg/hai/tools/surgery/6-gap-analysis-goal.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th.edu/chqs/safety-survey" TargetMode="External"/><Relationship Id="rId4" Type="http://schemas.openxmlformats.org/officeDocument/2006/relationships/settings" Target="settings.xml"/><Relationship Id="rId9" Type="http://schemas.openxmlformats.org/officeDocument/2006/relationships/hyperlink" Target="https://www.ahrq.gov/sops/surveys/hospital/index.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irley1\Johns%20Hopkins\Michael%20Rosen%20-%20AHRQ%20ISCR%20Program\AHRQ%20ISCR%20Toolkit\ISC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65DC6F9-1F8B-42EA-8BDA-EE15A2E3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ISCR Template</Template>
  <TotalTime>18</TotalTime>
  <Pages>5</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Heidenrich, Christine (AHRQ/OC) (CTR)</cp:lastModifiedBy>
  <cp:revision>6</cp:revision>
  <dcterms:created xsi:type="dcterms:W3CDTF">2022-10-12T22:13:00Z</dcterms:created>
  <dcterms:modified xsi:type="dcterms:W3CDTF">2023-06-02T17:41:00Z</dcterms:modified>
</cp:coreProperties>
</file>