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2101" w14:textId="296A61D5" w:rsidR="008B0ACB" w:rsidRPr="00677807" w:rsidRDefault="008B0ACB" w:rsidP="00677807">
      <w:pPr>
        <w:pStyle w:val="Title"/>
        <w:rPr>
          <w:rFonts w:cs="Calibri"/>
          <w:b/>
          <w:u w:color="8EAADB" w:themeColor="accent1" w:themeTint="99"/>
        </w:rPr>
      </w:pPr>
      <w:r w:rsidRPr="00677807">
        <w:rPr>
          <w:rFonts w:cs="Calibri"/>
          <w:u w:color="8EAADB" w:themeColor="accent1" w:themeTint="99"/>
        </w:rPr>
        <w:t xml:space="preserve">Program Overview </w:t>
      </w:r>
    </w:p>
    <w:p w14:paraId="62DE1E86" w14:textId="4D1A960A" w:rsidR="00AD0B06" w:rsidRPr="00F97B26" w:rsidRDefault="00AD0B06" w:rsidP="00F97B26">
      <w:pPr>
        <w:pStyle w:val="BodyText1"/>
      </w:pPr>
      <w:r w:rsidRPr="00F97B26">
        <w:t>This guide provides a high-level overview of the entire A</w:t>
      </w:r>
      <w:r w:rsidR="00EB4C08" w:rsidRPr="00F97B26">
        <w:t xml:space="preserve">gency for Healthcare </w:t>
      </w:r>
      <w:r w:rsidRPr="00F97B26">
        <w:t>R</w:t>
      </w:r>
      <w:r w:rsidR="00EB4C08" w:rsidRPr="00F97B26">
        <w:t xml:space="preserve">esearch and </w:t>
      </w:r>
      <w:r w:rsidRPr="00F97B26">
        <w:t>Q</w:t>
      </w:r>
      <w:r w:rsidR="00EB4C08" w:rsidRPr="00F97B26">
        <w:t>uality</w:t>
      </w:r>
      <w:r w:rsidRPr="00F97B26">
        <w:t xml:space="preserve"> </w:t>
      </w:r>
      <w:r w:rsidR="00BF476F">
        <w:t xml:space="preserve">(AHRQ) </w:t>
      </w:r>
      <w:r w:rsidRPr="00F97B26">
        <w:t xml:space="preserve">Safety Program for Improving Surgical Care and Recovery (ISCR) and toolkit.  </w:t>
      </w:r>
    </w:p>
    <w:p w14:paraId="6D37E7A5" w14:textId="4936EE1D" w:rsidR="00E60591" w:rsidRPr="00F97B26" w:rsidRDefault="00AD0B06" w:rsidP="00F97B26">
      <w:pPr>
        <w:pStyle w:val="BodyText1"/>
      </w:pPr>
      <w:r w:rsidRPr="00F97B26">
        <w:t xml:space="preserve">In addition to this guide, consider </w:t>
      </w:r>
      <w:r w:rsidR="008B0ACB" w:rsidRPr="00F97B26">
        <w:t xml:space="preserve">reviewing </w:t>
      </w:r>
      <w:r w:rsidRPr="00F97B26">
        <w:t xml:space="preserve">the </w:t>
      </w:r>
      <w:r w:rsidR="008B0ACB" w:rsidRPr="00F97B26">
        <w:t xml:space="preserve">ISCR </w:t>
      </w:r>
      <w:hyperlink r:id="rId10" w:history="1">
        <w:r w:rsidRPr="00EE458B">
          <w:rPr>
            <w:rStyle w:val="Hyperlink"/>
          </w:rPr>
          <w:t xml:space="preserve">overview </w:t>
        </w:r>
        <w:r w:rsidR="008136BC" w:rsidRPr="00EE458B">
          <w:rPr>
            <w:rStyle w:val="Hyperlink"/>
          </w:rPr>
          <w:t>p</w:t>
        </w:r>
        <w:r w:rsidR="008B0ACB" w:rsidRPr="00EE458B">
          <w:rPr>
            <w:rStyle w:val="Hyperlink"/>
          </w:rPr>
          <w:t>resentation</w:t>
        </w:r>
      </w:hyperlink>
      <w:r w:rsidR="008B0ACB" w:rsidRPr="00F97B26">
        <w:t xml:space="preserve"> and </w:t>
      </w:r>
      <w:hyperlink r:id="rId11" w:history="1">
        <w:r w:rsidR="008B0ACB" w:rsidRPr="00EE458B">
          <w:rPr>
            <w:rStyle w:val="Hyperlink"/>
          </w:rPr>
          <w:t>facilitator guide</w:t>
        </w:r>
      </w:hyperlink>
      <w:r w:rsidR="008B0ACB" w:rsidRPr="00F97B26">
        <w:t xml:space="preserve"> </w:t>
      </w:r>
      <w:r w:rsidRPr="00F97B26">
        <w:t xml:space="preserve">to learn about ISCR and the toolkit. </w:t>
      </w:r>
    </w:p>
    <w:p w14:paraId="5819426F" w14:textId="36C48602" w:rsidR="00AD0B06" w:rsidRPr="001F1854" w:rsidRDefault="00AD0B06" w:rsidP="007C6E62">
      <w:pPr>
        <w:pStyle w:val="Section1title"/>
        <w:rPr>
          <w:noProof/>
        </w:rPr>
      </w:pPr>
      <w:r w:rsidRPr="001F1854">
        <w:rPr>
          <w:noProof/>
        </w:rPr>
        <w:t xml:space="preserve">What </w:t>
      </w:r>
      <w:r w:rsidR="00405B53">
        <w:rPr>
          <w:noProof/>
        </w:rPr>
        <w:t>I</w:t>
      </w:r>
      <w:r w:rsidR="00405B53" w:rsidRPr="001F1854">
        <w:rPr>
          <w:noProof/>
        </w:rPr>
        <w:t xml:space="preserve">s </w:t>
      </w:r>
      <w:r w:rsidR="00292AB9">
        <w:rPr>
          <w:noProof/>
        </w:rPr>
        <w:t>t</w:t>
      </w:r>
      <w:r w:rsidRPr="001F1854">
        <w:rPr>
          <w:noProof/>
        </w:rPr>
        <w:t xml:space="preserve">he Program for Improving Surgical Care and Recovery? </w:t>
      </w:r>
    </w:p>
    <w:p w14:paraId="5858646E" w14:textId="59BC18F5" w:rsidR="00E60591" w:rsidRPr="00F97B26" w:rsidRDefault="00AD0B06" w:rsidP="00F97B26">
      <w:pPr>
        <w:pStyle w:val="BodyText1"/>
      </w:pPr>
      <w:r w:rsidRPr="00F97B26">
        <w:t xml:space="preserve">ISCR seeks to improve surgical outcomes by supporting hospitals in the implementation of evidence-based enhanced recovery pathways within the framework of </w:t>
      </w:r>
      <w:r w:rsidR="00BF476F">
        <w:t>AHRQ’s</w:t>
      </w:r>
      <w:r w:rsidRPr="00F97B26">
        <w:t xml:space="preserve"> </w:t>
      </w:r>
      <w:hyperlink r:id="rId12" w:history="1">
        <w:r w:rsidRPr="00F97B26">
          <w:rPr>
            <w:rStyle w:val="Hyperlink"/>
            <w:color w:val="auto"/>
            <w:u w:val="none"/>
          </w:rPr>
          <w:t>Comprehensive Unit-based Safety Program (CUSP)</w:t>
        </w:r>
      </w:hyperlink>
      <w:r w:rsidRPr="00F97B26">
        <w:t xml:space="preserve">. CUSP is a well-known model for sustainable safety improvement that has been associated with preventing harm in multiple areas. ISCR integrates both technical and adaptive approaches into a holistic, team-based approach to perioperative quality improvement for patients. </w:t>
      </w:r>
    </w:p>
    <w:p w14:paraId="68CACC5F" w14:textId="3C93E9B8" w:rsidR="00AD0B06" w:rsidRPr="001F1854" w:rsidRDefault="00AD0B06" w:rsidP="007C6E62">
      <w:pPr>
        <w:pStyle w:val="Section1title"/>
        <w:rPr>
          <w:noProof/>
        </w:rPr>
      </w:pPr>
      <w:r w:rsidRPr="001F1854">
        <w:rPr>
          <w:noProof/>
        </w:rPr>
        <w:t xml:space="preserve">Why </w:t>
      </w:r>
      <w:r w:rsidR="00405B53">
        <w:rPr>
          <w:noProof/>
        </w:rPr>
        <w:t>U</w:t>
      </w:r>
      <w:r w:rsidRPr="001F1854">
        <w:rPr>
          <w:noProof/>
        </w:rPr>
        <w:t xml:space="preserve">se the Program for </w:t>
      </w:r>
      <w:r w:rsidR="00405B53">
        <w:rPr>
          <w:noProof/>
        </w:rPr>
        <w:t>I</w:t>
      </w:r>
      <w:r w:rsidRPr="001F1854">
        <w:rPr>
          <w:noProof/>
        </w:rPr>
        <w:t>mprov</w:t>
      </w:r>
      <w:r w:rsidR="00405B53">
        <w:rPr>
          <w:noProof/>
        </w:rPr>
        <w:t>ing</w:t>
      </w:r>
      <w:r w:rsidRPr="001F1854">
        <w:rPr>
          <w:noProof/>
        </w:rPr>
        <w:t xml:space="preserve"> </w:t>
      </w:r>
      <w:r w:rsidR="00405B53">
        <w:rPr>
          <w:noProof/>
        </w:rPr>
        <w:t>S</w:t>
      </w:r>
      <w:r w:rsidR="00775E3D">
        <w:rPr>
          <w:noProof/>
        </w:rPr>
        <w:t>urgical</w:t>
      </w:r>
      <w:r w:rsidR="00405B53">
        <w:rPr>
          <w:noProof/>
        </w:rPr>
        <w:t xml:space="preserve"> Care and Recovery</w:t>
      </w:r>
      <w:r w:rsidRPr="001F1854">
        <w:rPr>
          <w:noProof/>
        </w:rPr>
        <w:t xml:space="preserve">? </w:t>
      </w:r>
    </w:p>
    <w:p w14:paraId="043C08D9" w14:textId="462D0700" w:rsidR="00945F22" w:rsidRPr="00F97B26" w:rsidRDefault="00945F22" w:rsidP="00F97B26">
      <w:pPr>
        <w:pStyle w:val="BodyText1"/>
      </w:pPr>
      <w:r w:rsidRPr="00F97B26">
        <w:t xml:space="preserve">ISCR provides information and tools that hospitals can use to make enhanced recovery a priority and to select and implement pathways that address the specific needs of their hospital. </w:t>
      </w:r>
      <w:r w:rsidR="00405B53" w:rsidRPr="00F97B26">
        <w:t>ISCR</w:t>
      </w:r>
      <w:r w:rsidRPr="00F97B26">
        <w:t xml:space="preserve"> promote</w:t>
      </w:r>
      <w:r w:rsidR="00405B53" w:rsidRPr="00F97B26">
        <w:t>s</w:t>
      </w:r>
      <w:r w:rsidRPr="00F97B26">
        <w:t xml:space="preserve"> the delivery of evidence-based perioperative care and reduces variability.</w:t>
      </w:r>
    </w:p>
    <w:p w14:paraId="1BBF54B1" w14:textId="6154DD38" w:rsidR="00945F22" w:rsidRPr="00F97B26" w:rsidRDefault="00E60257" w:rsidP="00F97B26">
      <w:pPr>
        <w:pStyle w:val="BodyText1"/>
      </w:pPr>
      <w:r w:rsidRPr="00F97B26">
        <w:t>Using this</w:t>
      </w:r>
      <w:r w:rsidR="00945F22" w:rsidRPr="00F97B26">
        <w:t xml:space="preserve"> </w:t>
      </w:r>
      <w:r w:rsidRPr="00F97B26">
        <w:t>toolkit</w:t>
      </w:r>
      <w:r w:rsidR="00F953E7">
        <w:t>,</w:t>
      </w:r>
      <w:r w:rsidRPr="00F97B26">
        <w:t xml:space="preserve"> </w:t>
      </w:r>
      <w:r w:rsidR="00945F22" w:rsidRPr="00F97B26">
        <w:t>hospitals</w:t>
      </w:r>
      <w:r w:rsidR="00405B53" w:rsidRPr="00F97B26">
        <w:t xml:space="preserve"> can</w:t>
      </w:r>
      <w:r w:rsidR="00945F22" w:rsidRPr="00F97B26">
        <w:t xml:space="preserve"> establish a</w:t>
      </w:r>
      <w:r w:rsidR="00B22992" w:rsidRPr="00F97B26">
        <w:t>n ISCR program</w:t>
      </w:r>
      <w:r w:rsidR="00945F22" w:rsidRPr="00F97B26">
        <w:t xml:space="preserve"> within the following </w:t>
      </w:r>
      <w:r w:rsidRPr="00F97B26">
        <w:t>s</w:t>
      </w:r>
      <w:r w:rsidR="005F08CA" w:rsidRPr="00F97B26">
        <w:t>ervice</w:t>
      </w:r>
      <w:r w:rsidR="00945F22" w:rsidRPr="00F97B26">
        <w:t xml:space="preserve"> lines: colorectal</w:t>
      </w:r>
      <w:r w:rsidR="00405B53" w:rsidRPr="00F97B26">
        <w:t xml:space="preserve"> surgery</w:t>
      </w:r>
      <w:r w:rsidR="00945F22" w:rsidRPr="00F97B26">
        <w:t>, hip fracture</w:t>
      </w:r>
      <w:r w:rsidR="00405B53" w:rsidRPr="00F97B26">
        <w:t xml:space="preserve"> surgery</w:t>
      </w:r>
      <w:r w:rsidR="00945F22" w:rsidRPr="00F97B26">
        <w:t xml:space="preserve">, </w:t>
      </w:r>
      <w:r w:rsidR="00405B53" w:rsidRPr="00F97B26">
        <w:t xml:space="preserve">hip and knee </w:t>
      </w:r>
      <w:r w:rsidR="00945F22" w:rsidRPr="00F97B26">
        <w:t>replacement</w:t>
      </w:r>
      <w:r w:rsidR="00405B53" w:rsidRPr="00F97B26">
        <w:t xml:space="preserve"> surgery</w:t>
      </w:r>
      <w:r w:rsidR="00945F22" w:rsidRPr="00F97B26">
        <w:t>, gynecolog</w:t>
      </w:r>
      <w:r w:rsidR="00405B53" w:rsidRPr="00F97B26">
        <w:t>ic surgery</w:t>
      </w:r>
      <w:r w:rsidR="00BF476F">
        <w:t>,</w:t>
      </w:r>
      <w:r w:rsidR="00945F22" w:rsidRPr="00F97B26">
        <w:t xml:space="preserve"> </w:t>
      </w:r>
      <w:r w:rsidR="00F50F8E" w:rsidRPr="00F97B26">
        <w:t xml:space="preserve">and </w:t>
      </w:r>
      <w:r w:rsidR="00945F22" w:rsidRPr="00F97B26">
        <w:t>emergency general surgery</w:t>
      </w:r>
      <w:r w:rsidR="00405B53" w:rsidRPr="00F97B26">
        <w:t xml:space="preserve"> (major abdominal</w:t>
      </w:r>
      <w:r w:rsidR="00740D9A">
        <w:t xml:space="preserve"> surgery</w:t>
      </w:r>
      <w:r w:rsidR="00405B53" w:rsidRPr="00F97B26">
        <w:t>, appendectomy, and cholecystectomy)</w:t>
      </w:r>
      <w:r w:rsidR="00945F22" w:rsidRPr="00F97B26">
        <w:t xml:space="preserve">. </w:t>
      </w:r>
    </w:p>
    <w:p w14:paraId="02F4B7C2" w14:textId="77777777" w:rsidR="00945F22" w:rsidRPr="00F97B26" w:rsidRDefault="00945F22" w:rsidP="00F97B26">
      <w:pPr>
        <w:pStyle w:val="BodyText1"/>
      </w:pPr>
    </w:p>
    <w:p w14:paraId="0CC5FE1E" w14:textId="5480D222" w:rsidR="007C6E62" w:rsidRPr="009C68B4" w:rsidRDefault="00035228" w:rsidP="007C6E62">
      <w:pPr>
        <w:pStyle w:val="Section1title"/>
      </w:pPr>
      <w:r>
        <w:rPr>
          <w:sz w:val="24"/>
        </w:rPr>
        <w:br w:type="page"/>
      </w:r>
    </w:p>
    <w:p w14:paraId="19DB344E" w14:textId="22B27F6B" w:rsidR="00035228" w:rsidRDefault="00035228" w:rsidP="007C6E62">
      <w:pPr>
        <w:pStyle w:val="BodyText1"/>
        <w:rPr>
          <w:b/>
        </w:rPr>
        <w:sectPr w:rsidR="00035228" w:rsidSect="00F15B1D">
          <w:footerReference w:type="default" r:id="rId13"/>
          <w:headerReference w:type="first" r:id="rId14"/>
          <w:footerReference w:type="first" r:id="rId15"/>
          <w:pgSz w:w="12240" w:h="15840"/>
          <w:pgMar w:top="1710" w:right="1440" w:bottom="1440" w:left="1440" w:header="720" w:footer="720" w:gutter="0"/>
          <w:cols w:space="720"/>
          <w:titlePg/>
          <w:docGrid w:linePitch="360"/>
        </w:sectPr>
      </w:pPr>
    </w:p>
    <w:p w14:paraId="32D72BA6" w14:textId="6659734A" w:rsidR="004C039E" w:rsidRPr="001F1854" w:rsidRDefault="004C039E" w:rsidP="007C6E62">
      <w:pPr>
        <w:pStyle w:val="Section1title"/>
      </w:pPr>
      <w:r w:rsidRPr="001F1854">
        <w:lastRenderedPageBreak/>
        <w:t>The Program for I</w:t>
      </w:r>
      <w:r w:rsidR="00363568">
        <w:t xml:space="preserve">mproving </w:t>
      </w:r>
      <w:r w:rsidRPr="001F1854">
        <w:t>S</w:t>
      </w:r>
      <w:r w:rsidR="00363568">
        <w:t xml:space="preserve">urgical </w:t>
      </w:r>
      <w:r w:rsidRPr="001F1854">
        <w:t>C</w:t>
      </w:r>
      <w:r w:rsidR="00363568">
        <w:t xml:space="preserve">are and </w:t>
      </w:r>
      <w:r w:rsidRPr="001F1854">
        <w:t>R</w:t>
      </w:r>
      <w:r w:rsidR="00363568">
        <w:t>ecovery Pathway</w:t>
      </w:r>
      <w:r w:rsidRPr="001F1854">
        <w:t xml:space="preserve"> Roadmap </w:t>
      </w:r>
    </w:p>
    <w:p w14:paraId="03B2595F" w14:textId="33F259AE" w:rsidR="004C039E" w:rsidRDefault="004C039E" w:rsidP="00105B33">
      <w:pPr>
        <w:pStyle w:val="BodyText1"/>
      </w:pPr>
      <w:r w:rsidRPr="001F1854">
        <w:t xml:space="preserve">Below is the program’s </w:t>
      </w:r>
      <w:r w:rsidR="00363568">
        <w:t xml:space="preserve">pathway </w:t>
      </w:r>
      <w:r w:rsidRPr="001F1854">
        <w:t xml:space="preserve">roadmap that highlights </w:t>
      </w:r>
      <w:r w:rsidR="00363568">
        <w:t xml:space="preserve">some of </w:t>
      </w:r>
      <w:r w:rsidRPr="001F1854">
        <w:t>the common elements across the program’s service lines</w:t>
      </w:r>
      <w:r w:rsidR="0058461A">
        <w:t>, for both elective and emergency</w:t>
      </w:r>
      <w:r w:rsidR="00363568">
        <w:t>/urgent</w:t>
      </w:r>
      <w:r w:rsidR="0058461A">
        <w:t xml:space="preserve"> surgeries</w:t>
      </w:r>
      <w:r w:rsidR="00363568">
        <w:t>.</w:t>
      </w:r>
      <w:r w:rsidRPr="001F1854">
        <w:t xml:space="preserve"> Hospitals should refer to the other sections within this toolkit for additional material and tools to assist with their standardization efforts. </w:t>
      </w:r>
    </w:p>
    <w:p w14:paraId="73673370" w14:textId="041FA558" w:rsidR="004133DF" w:rsidRDefault="004133DF" w:rsidP="00105B33">
      <w:pPr>
        <w:pStyle w:val="BodyText1"/>
      </w:pPr>
      <w:r w:rsidRPr="004133DF">
        <w:rPr>
          <w:noProof/>
        </w:rPr>
        <w:drawing>
          <wp:inline distT="0" distB="0" distL="0" distR="0" wp14:anchorId="4D16DB6A" wp14:editId="34716536">
            <wp:extent cx="7836195" cy="4757344"/>
            <wp:effectExtent l="0" t="0" r="0" b="5715"/>
            <wp:docPr id="8" name="Picture 8" descr="Image showing the areas of perioperative care: Preoperative, Immediate Preoperative, Intraoperative, Postoperative, and Post-discharge. Image also shows a patient scheduled for an elective surgery enters the Improving Surgical Care and Recovery pathway in the preoperative phase of care. A patient needing emergency surgery enters the pathway in the immediate preoperative phase of ca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54506" cy="47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EA1A" w14:textId="110CBE40" w:rsidR="008362EF" w:rsidRPr="001F1854" w:rsidRDefault="008362EF" w:rsidP="00105B33">
      <w:pPr>
        <w:pStyle w:val="Section1title"/>
      </w:pPr>
      <w:r w:rsidRPr="001F1854">
        <w:lastRenderedPageBreak/>
        <w:t>The Program for I</w:t>
      </w:r>
      <w:r w:rsidR="00363568">
        <w:t xml:space="preserve">mproving </w:t>
      </w:r>
      <w:r w:rsidRPr="001F1854">
        <w:t>S</w:t>
      </w:r>
      <w:r w:rsidR="00363568">
        <w:t xml:space="preserve">urgical </w:t>
      </w:r>
      <w:r w:rsidRPr="001F1854">
        <w:t>C</w:t>
      </w:r>
      <w:r w:rsidR="00363568">
        <w:t xml:space="preserve">are and </w:t>
      </w:r>
      <w:r w:rsidRPr="001F1854">
        <w:t>R</w:t>
      </w:r>
      <w:r w:rsidR="00363568">
        <w:t>ecovery</w:t>
      </w:r>
      <w:r w:rsidRPr="001F1854">
        <w:t xml:space="preserve"> Implementation Phaseline</w:t>
      </w:r>
    </w:p>
    <w:p w14:paraId="130853ED" w14:textId="05D2E2D3" w:rsidR="00105B33" w:rsidRPr="001F1854" w:rsidRDefault="008362EF" w:rsidP="00105B33">
      <w:pPr>
        <w:pStyle w:val="BodyText1"/>
      </w:pPr>
      <w:r w:rsidRPr="001F1854">
        <w:t xml:space="preserve">While the efforts to standardize your perioperative </w:t>
      </w:r>
      <w:r w:rsidR="00363568">
        <w:t>processes</w:t>
      </w:r>
      <w:r w:rsidR="00363568" w:rsidRPr="001F1854">
        <w:t xml:space="preserve"> </w:t>
      </w:r>
      <w:r w:rsidR="001E22F2" w:rsidRPr="001F1854">
        <w:t xml:space="preserve">are continuous and never ending, this toolkit recommends taking </w:t>
      </w:r>
      <w:r w:rsidR="00491A78" w:rsidRPr="001F1854">
        <w:t xml:space="preserve">certain steps during the first 12 months to set </w:t>
      </w:r>
      <w:r w:rsidR="005A64E6">
        <w:t xml:space="preserve">up </w:t>
      </w:r>
      <w:r w:rsidR="00491A78" w:rsidRPr="001F1854">
        <w:t xml:space="preserve">your team for success. </w:t>
      </w:r>
      <w:r w:rsidR="001B4A5E" w:rsidRPr="001F1854">
        <w:t xml:space="preserve">These steps are highlighted in the </w:t>
      </w:r>
      <w:proofErr w:type="spellStart"/>
      <w:r w:rsidR="001B4A5E" w:rsidRPr="001F1854">
        <w:t>phaseline</w:t>
      </w:r>
      <w:proofErr w:type="spellEnd"/>
      <w:r w:rsidR="001B4A5E" w:rsidRPr="001F1854">
        <w:t xml:space="preserve"> below and expanded on in more detail, along with resources to use at each step, in the </w:t>
      </w:r>
      <w:hyperlink r:id="rId17" w:history="1">
        <w:r w:rsidR="001B4A5E" w:rsidRPr="00EE458B">
          <w:rPr>
            <w:rStyle w:val="Hyperlink"/>
          </w:rPr>
          <w:t xml:space="preserve">Implementation </w:t>
        </w:r>
        <w:r w:rsidR="00363568" w:rsidRPr="00EE458B">
          <w:rPr>
            <w:rStyle w:val="Hyperlink"/>
          </w:rPr>
          <w:t>Guide</w:t>
        </w:r>
      </w:hyperlink>
      <w:r w:rsidR="00363568" w:rsidRPr="001F1854">
        <w:t xml:space="preserve"> </w:t>
      </w:r>
      <w:r w:rsidR="001B4A5E" w:rsidRPr="001F1854">
        <w:t xml:space="preserve">of this toolkit. </w:t>
      </w:r>
    </w:p>
    <w:p w14:paraId="3C8B3F1A" w14:textId="0BC7C603" w:rsidR="007E3811" w:rsidRDefault="00491A78" w:rsidP="00A12893">
      <w:pPr>
        <w:pStyle w:val="BodyText1"/>
        <w:rPr>
          <w:rFonts w:cstheme="minorHAnsi"/>
          <w:b/>
        </w:rPr>
        <w:sectPr w:rsidR="007E3811" w:rsidSect="007E3811">
          <w:footerReference w:type="default" r:id="rId18"/>
          <w:headerReference w:type="first" r:id="rId19"/>
          <w:footerReference w:type="first" r:id="rId20"/>
          <w:pgSz w:w="15840" w:h="12240" w:orient="landscape" w:code="1"/>
          <w:pgMar w:top="1440" w:right="1440" w:bottom="1440" w:left="1440" w:header="720" w:footer="288" w:gutter="0"/>
          <w:cols w:space="720"/>
          <w:titlePg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550B79F1" wp14:editId="2FB8968A">
            <wp:extent cx="7836519" cy="4638675"/>
            <wp:effectExtent l="0" t="0" r="0" b="0"/>
            <wp:docPr id="3" name="Picture 3" descr="Infographic of ISCR Implementation Phaseline divided into 5 sections: Months 1-3 to Lay the Groundwork; Months 4-5 to Start Patients on the ISCR Pathway; Months 6-7 to Regularly Communicate Your Progress; Months 8-9 to Prepare to Sustain Work; and Months 10-12+ to Reflect on Chan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graphic of ISCR Implementation Phaseline (months 1-3, 4-5, 6-7, 8-9, and 10-12+)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9" b="6447"/>
                    <a:stretch/>
                  </pic:blipFill>
                  <pic:spPr bwMode="auto">
                    <a:xfrm>
                      <a:off x="0" y="0"/>
                      <a:ext cx="7890769" cy="4670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6925E" w14:textId="59D50D80" w:rsidR="00945F22" w:rsidRPr="001F1854" w:rsidRDefault="00945F22" w:rsidP="00A12893">
      <w:pPr>
        <w:pStyle w:val="Section1title"/>
      </w:pPr>
      <w:r w:rsidRPr="001F1854">
        <w:lastRenderedPageBreak/>
        <w:t xml:space="preserve">What </w:t>
      </w:r>
      <w:r w:rsidR="005F08CA" w:rsidRPr="001F1854">
        <w:t>d</w:t>
      </w:r>
      <w:r w:rsidRPr="001F1854">
        <w:t xml:space="preserve">oes the </w:t>
      </w:r>
      <w:r w:rsidR="005F08CA" w:rsidRPr="001F1854">
        <w:t>Program for Improving Surgical Care and Recovery toolkit i</w:t>
      </w:r>
      <w:r w:rsidRPr="001F1854">
        <w:t>nclude?</w:t>
      </w:r>
    </w:p>
    <w:p w14:paraId="605E0B8D" w14:textId="0A2D479C" w:rsidR="00363568" w:rsidRDefault="00945F22" w:rsidP="00A12893">
      <w:pPr>
        <w:pStyle w:val="BodyText1"/>
      </w:pPr>
      <w:r w:rsidRPr="001F1854">
        <w:t xml:space="preserve">The </w:t>
      </w:r>
      <w:r w:rsidR="005F08CA" w:rsidRPr="001F1854">
        <w:t xml:space="preserve">toolkit includes </w:t>
      </w:r>
      <w:r w:rsidRPr="001F1854">
        <w:t xml:space="preserve">step-by-step instructions and </w:t>
      </w:r>
      <w:r w:rsidR="00BE73B6">
        <w:t>ready-to-use</w:t>
      </w:r>
      <w:r w:rsidRPr="001F1854">
        <w:t xml:space="preserve"> materials that hospitals can use to </w:t>
      </w:r>
      <w:r w:rsidR="00CC0AA0" w:rsidRPr="001F1854">
        <w:t>plan</w:t>
      </w:r>
      <w:r w:rsidRPr="001F1854">
        <w:t>, implement</w:t>
      </w:r>
      <w:r w:rsidR="00363FFA">
        <w:t>,</w:t>
      </w:r>
      <w:r w:rsidRPr="001F1854">
        <w:t xml:space="preserve"> and sustain a</w:t>
      </w:r>
      <w:r w:rsidR="00363568">
        <w:t>n ISCR</w:t>
      </w:r>
      <w:r w:rsidRPr="001F1854">
        <w:t xml:space="preserve"> </w:t>
      </w:r>
      <w:r w:rsidR="00292AB9">
        <w:t>p</w:t>
      </w:r>
      <w:r w:rsidR="00292AB9" w:rsidRPr="001F1854">
        <w:t>rogram</w:t>
      </w:r>
      <w:r w:rsidRPr="001F1854">
        <w:t>. Hospitals can choose which tool</w:t>
      </w:r>
      <w:r w:rsidR="005F08CA" w:rsidRPr="001F1854">
        <w:t>s</w:t>
      </w:r>
      <w:r w:rsidRPr="001F1854">
        <w:t xml:space="preserve">, or </w:t>
      </w:r>
      <w:r w:rsidR="006D72D9">
        <w:t>components</w:t>
      </w:r>
      <w:r w:rsidR="006D72D9" w:rsidRPr="001F1854">
        <w:t xml:space="preserve"> </w:t>
      </w:r>
      <w:r w:rsidRPr="001F1854">
        <w:t xml:space="preserve">of tools, best suit their </w:t>
      </w:r>
      <w:r w:rsidR="005F08CA" w:rsidRPr="001F1854">
        <w:t xml:space="preserve">needs. Every </w:t>
      </w:r>
      <w:r w:rsidRPr="001F1854">
        <w:t xml:space="preserve">tool </w:t>
      </w:r>
      <w:r w:rsidR="005F08CA" w:rsidRPr="001F1854">
        <w:t xml:space="preserve">is intended </w:t>
      </w:r>
      <w:r w:rsidRPr="001F1854">
        <w:t xml:space="preserve">to be adapted to suit each hospital. </w:t>
      </w:r>
    </w:p>
    <w:p w14:paraId="48DBA32A" w14:textId="0620D4E3" w:rsidR="00945F22" w:rsidRDefault="00945F22" w:rsidP="00A12893">
      <w:pPr>
        <w:pStyle w:val="BodyText1"/>
      </w:pPr>
      <w:r w:rsidRPr="001F1854">
        <w:t xml:space="preserve">This </w:t>
      </w:r>
      <w:r w:rsidR="007A5093" w:rsidRPr="001F1854">
        <w:t>p</w:t>
      </w:r>
      <w:r w:rsidRPr="001F1854">
        <w:t xml:space="preserve">rogram contains </w:t>
      </w:r>
      <w:r w:rsidR="00CC0AA0" w:rsidRPr="001F1854">
        <w:t>four sections</w:t>
      </w:r>
      <w:r w:rsidRPr="001F1854">
        <w:t>, which are described below.</w:t>
      </w:r>
    </w:p>
    <w:p w14:paraId="4067071A" w14:textId="35A0ED5B" w:rsidR="00945F22" w:rsidRPr="001F1854" w:rsidRDefault="00945F22" w:rsidP="00F25BB7">
      <w:pPr>
        <w:pStyle w:val="Section2Title"/>
      </w:pPr>
      <w:r w:rsidRPr="001F1854">
        <w:t xml:space="preserve">Choosing a </w:t>
      </w:r>
      <w:r w:rsidR="0008264B" w:rsidRPr="001F1854">
        <w:t>Service Line</w:t>
      </w:r>
      <w:r w:rsidRPr="001F1854">
        <w:t xml:space="preserve"> for Improving Surgical Care and Recovery</w:t>
      </w:r>
    </w:p>
    <w:p w14:paraId="4B883A40" w14:textId="6377789B" w:rsidR="00945F22" w:rsidRPr="001F1854" w:rsidRDefault="00945F22" w:rsidP="00F25BB7">
      <w:pPr>
        <w:pStyle w:val="BodyText1"/>
      </w:pPr>
      <w:r w:rsidRPr="001F1854">
        <w:t xml:space="preserve">This </w:t>
      </w:r>
      <w:r w:rsidR="0008264B" w:rsidRPr="001F1854">
        <w:t>section</w:t>
      </w:r>
      <w:r w:rsidRPr="001F1854">
        <w:t xml:space="preserve"> is designed to help a hospital </w:t>
      </w:r>
      <w:r w:rsidR="00363568">
        <w:t xml:space="preserve"> identify focus areas for their</w:t>
      </w:r>
      <w:r w:rsidR="00363568" w:rsidRPr="001F1854">
        <w:t xml:space="preserve"> </w:t>
      </w:r>
      <w:r w:rsidR="00363568">
        <w:t>ISCR program</w:t>
      </w:r>
      <w:r w:rsidRPr="001F1854">
        <w:t xml:space="preserve">. The </w:t>
      </w:r>
      <w:r w:rsidR="00E63EDC" w:rsidRPr="001F1854">
        <w:t>section</w:t>
      </w:r>
      <w:r w:rsidRPr="001F1854">
        <w:t xml:space="preserve"> includes the following tools:</w:t>
      </w:r>
    </w:p>
    <w:p w14:paraId="442F7FDE" w14:textId="2A5F1BAC" w:rsidR="00945F22" w:rsidRDefault="007A5093" w:rsidP="00A8477B">
      <w:pPr>
        <w:pStyle w:val="Bullet1"/>
      </w:pPr>
      <w:r w:rsidRPr="007A5093">
        <w:t xml:space="preserve">The </w:t>
      </w:r>
      <w:hyperlink r:id="rId22" w:history="1">
        <w:r w:rsidRPr="00060C2E">
          <w:rPr>
            <w:rStyle w:val="Hyperlink"/>
            <w:b/>
          </w:rPr>
          <w:t>Red Light, Green Light</w:t>
        </w:r>
      </w:hyperlink>
      <w:r>
        <w:rPr>
          <w:b/>
        </w:rPr>
        <w:t xml:space="preserve"> </w:t>
      </w:r>
      <w:r w:rsidRPr="007A5093">
        <w:t>too</w:t>
      </w:r>
      <w:r>
        <w:t>l to help you identify where you have buy-in from front-line staff, leaders, and other key stakeholders</w:t>
      </w:r>
      <w:r w:rsidR="00945F22">
        <w:t>.</w:t>
      </w:r>
      <w:r>
        <w:t xml:space="preserve"> This tool also helps you spot where you have existing barriers and facilitator</w:t>
      </w:r>
      <w:r w:rsidR="008958CE">
        <w:t>s</w:t>
      </w:r>
      <w:r>
        <w:t xml:space="preserve"> to quality improvement.</w:t>
      </w:r>
    </w:p>
    <w:p w14:paraId="6974A1B8" w14:textId="43AC875C" w:rsidR="00A00B6D" w:rsidRDefault="00A00B6D" w:rsidP="00A8477B">
      <w:pPr>
        <w:pStyle w:val="Bullet1"/>
      </w:pPr>
      <w:r>
        <w:t xml:space="preserve">A </w:t>
      </w:r>
      <w:hyperlink r:id="rId23" w:history="1">
        <w:r w:rsidRPr="00060C2E">
          <w:rPr>
            <w:rStyle w:val="Hyperlink"/>
            <w:b/>
          </w:rPr>
          <w:t>Gap Analysis and Goal Setting</w:t>
        </w:r>
        <w:r w:rsidRPr="00060C2E">
          <w:rPr>
            <w:rStyle w:val="Hyperlink"/>
          </w:rPr>
          <w:t xml:space="preserve"> </w:t>
        </w:r>
        <w:r w:rsidR="00F953E7" w:rsidRPr="00060C2E">
          <w:rPr>
            <w:rStyle w:val="Hyperlink"/>
            <w:b/>
            <w:bCs/>
          </w:rPr>
          <w:t>F</w:t>
        </w:r>
        <w:r w:rsidRPr="00060C2E">
          <w:rPr>
            <w:rStyle w:val="Hyperlink"/>
            <w:b/>
            <w:bCs/>
          </w:rPr>
          <w:t>orm</w:t>
        </w:r>
      </w:hyperlink>
      <w:r>
        <w:t xml:space="preserve"> will help you identify which areas are most in need of improvement </w:t>
      </w:r>
      <w:r w:rsidR="009C02EE">
        <w:t>and set measurable goals for performance improvement.</w:t>
      </w:r>
    </w:p>
    <w:p w14:paraId="6D494096" w14:textId="77777777" w:rsidR="00945F22" w:rsidRPr="00F2253B" w:rsidRDefault="00945F22" w:rsidP="000F5535">
      <w:pPr>
        <w:pStyle w:val="BodyText1"/>
      </w:pPr>
    </w:p>
    <w:p w14:paraId="1F339EE3" w14:textId="0DB7808F" w:rsidR="00A00B6D" w:rsidRPr="001F1854" w:rsidRDefault="00A00B6D" w:rsidP="000F5535">
      <w:pPr>
        <w:pStyle w:val="Section2Title"/>
      </w:pPr>
      <w:r w:rsidRPr="001F1854">
        <w:t xml:space="preserve">Implementing a </w:t>
      </w:r>
      <w:r w:rsidR="00F953E7">
        <w:t xml:space="preserve">Safety </w:t>
      </w:r>
      <w:r w:rsidRPr="001F1854">
        <w:t xml:space="preserve">Program for Improving Surgical Care and Recovery </w:t>
      </w:r>
    </w:p>
    <w:p w14:paraId="01947889" w14:textId="220E24B1" w:rsidR="008E65F5" w:rsidRDefault="00945F22" w:rsidP="000F5535">
      <w:pPr>
        <w:pStyle w:val="BodyText1"/>
      </w:pPr>
      <w:r w:rsidRPr="001F1854">
        <w:t xml:space="preserve">This </w:t>
      </w:r>
      <w:r w:rsidR="00E63EDC" w:rsidRPr="001F1854">
        <w:t>section</w:t>
      </w:r>
      <w:r w:rsidRPr="001F1854">
        <w:t xml:space="preserve"> </w:t>
      </w:r>
      <w:r w:rsidR="004C3125">
        <w:t xml:space="preserve">contains three subsections designed to help </w:t>
      </w:r>
      <w:r w:rsidRPr="001F1854">
        <w:t>a hospital</w:t>
      </w:r>
      <w:r w:rsidR="004C3125">
        <w:t xml:space="preserve"> engage stakeholders, plan,</w:t>
      </w:r>
      <w:r w:rsidRPr="001F1854">
        <w:t xml:space="preserve"> and introduce a</w:t>
      </w:r>
      <w:r w:rsidR="00292AB9">
        <w:t>n ISCR p</w:t>
      </w:r>
      <w:r w:rsidRPr="001F1854">
        <w:t xml:space="preserve">rogram. The </w:t>
      </w:r>
      <w:r w:rsidR="00E63EDC" w:rsidRPr="001F1854">
        <w:t>section</w:t>
      </w:r>
      <w:r w:rsidRPr="001F1854">
        <w:t xml:space="preserve"> includes the following tools:</w:t>
      </w:r>
    </w:p>
    <w:p w14:paraId="395815FD" w14:textId="13570373" w:rsidR="00E932A4" w:rsidRPr="00EE39CA" w:rsidRDefault="00E932A4" w:rsidP="00030262">
      <w:pPr>
        <w:pStyle w:val="Section3Title"/>
        <w:rPr>
          <w:rFonts w:asciiTheme="majorHAnsi" w:hAnsiTheme="majorHAnsi" w:cstheme="majorHAnsi"/>
          <w:i w:val="0"/>
          <w:sz w:val="28"/>
        </w:rPr>
      </w:pPr>
      <w:r w:rsidRPr="00EE39CA">
        <w:rPr>
          <w:rFonts w:asciiTheme="majorHAnsi" w:hAnsiTheme="majorHAnsi" w:cstheme="majorHAnsi"/>
          <w:i w:val="0"/>
          <w:sz w:val="28"/>
        </w:rPr>
        <w:t xml:space="preserve">Engaging Stakeholders and Planning for </w:t>
      </w:r>
      <w:r w:rsidR="008E65F5" w:rsidRPr="00EE39CA">
        <w:rPr>
          <w:rFonts w:asciiTheme="majorHAnsi" w:hAnsiTheme="majorHAnsi" w:cstheme="majorHAnsi"/>
          <w:i w:val="0"/>
          <w:sz w:val="28"/>
        </w:rPr>
        <w:t xml:space="preserve">Your </w:t>
      </w:r>
      <w:r w:rsidRPr="00EE39CA">
        <w:rPr>
          <w:rFonts w:asciiTheme="majorHAnsi" w:hAnsiTheme="majorHAnsi" w:cstheme="majorHAnsi"/>
          <w:i w:val="0"/>
          <w:sz w:val="28"/>
        </w:rPr>
        <w:t>Pathway</w:t>
      </w:r>
    </w:p>
    <w:p w14:paraId="623E2859" w14:textId="378CD35B" w:rsidR="00945F22" w:rsidRPr="00F2253B" w:rsidRDefault="00945F22" w:rsidP="000F5535">
      <w:pPr>
        <w:pStyle w:val="Bullet1"/>
      </w:pPr>
      <w:r w:rsidRPr="00F2253B">
        <w:t xml:space="preserve">An </w:t>
      </w:r>
      <w:hyperlink r:id="rId24" w:history="1">
        <w:r w:rsidRPr="00EE458B">
          <w:rPr>
            <w:rStyle w:val="Hyperlink"/>
            <w:b/>
          </w:rPr>
          <w:t>ISCR Implementation Guide</w:t>
        </w:r>
      </w:hyperlink>
      <w:r w:rsidRPr="00F2253B">
        <w:t xml:space="preserve"> that provides monthly goals and tasks to help hospitals integrate an enhanced recovery pathway into their perioperative area.</w:t>
      </w:r>
    </w:p>
    <w:p w14:paraId="5D24BC3E" w14:textId="5D5F59E3" w:rsidR="0008264B" w:rsidRPr="00A00B6D" w:rsidRDefault="00A00B6D" w:rsidP="000F5535">
      <w:pPr>
        <w:pStyle w:val="Bullet1"/>
      </w:pPr>
      <w:r w:rsidRPr="00A00B6D">
        <w:t xml:space="preserve">The </w:t>
      </w:r>
      <w:hyperlink r:id="rId25" w:history="1">
        <w:r w:rsidRPr="00EE458B">
          <w:rPr>
            <w:rStyle w:val="Hyperlink"/>
            <w:b/>
          </w:rPr>
          <w:t>Build</w:t>
        </w:r>
        <w:r w:rsidR="008E65F5" w:rsidRPr="00EE458B">
          <w:rPr>
            <w:rStyle w:val="Hyperlink"/>
            <w:b/>
          </w:rPr>
          <w:t>ing</w:t>
        </w:r>
        <w:r w:rsidRPr="00EE458B">
          <w:rPr>
            <w:rStyle w:val="Hyperlink"/>
            <w:b/>
          </w:rPr>
          <w:t xml:space="preserve"> Your ISCR</w:t>
        </w:r>
        <w:r w:rsidR="008E65F5" w:rsidRPr="00EE458B">
          <w:rPr>
            <w:rStyle w:val="Hyperlink"/>
            <w:b/>
          </w:rPr>
          <w:t xml:space="preserve"> Core</w:t>
        </w:r>
        <w:r w:rsidRPr="00EE458B">
          <w:rPr>
            <w:rStyle w:val="Hyperlink"/>
            <w:b/>
          </w:rPr>
          <w:t xml:space="preserve"> Team</w:t>
        </w:r>
      </w:hyperlink>
      <w:r w:rsidRPr="00A00B6D">
        <w:t xml:space="preserve"> tool will help you understand the </w:t>
      </w:r>
      <w:r>
        <w:t>r</w:t>
      </w:r>
      <w:r w:rsidR="0008264B" w:rsidRPr="00A00B6D">
        <w:t xml:space="preserve">oles and </w:t>
      </w:r>
      <w:r>
        <w:t>r</w:t>
      </w:r>
      <w:r w:rsidR="0008264B" w:rsidRPr="00A00B6D">
        <w:t>esponsibilities of your ISCR core team to help you identify mem</w:t>
      </w:r>
      <w:r>
        <w:t xml:space="preserve">bers who are best positioned to work with you to implement, lead, and </w:t>
      </w:r>
      <w:r w:rsidRPr="00A00B6D">
        <w:t>monitor progress toward improving surgical outcomes</w:t>
      </w:r>
      <w:r w:rsidR="0008264B" w:rsidRPr="00A00B6D">
        <w:t xml:space="preserve">.  </w:t>
      </w:r>
    </w:p>
    <w:p w14:paraId="4769AA56" w14:textId="6AA0C43D" w:rsidR="00945F22" w:rsidRPr="00F2253B" w:rsidRDefault="00945F22" w:rsidP="000F5535">
      <w:pPr>
        <w:pStyle w:val="Bullet1"/>
      </w:pPr>
      <w:r w:rsidRPr="00F2253B">
        <w:t xml:space="preserve">A </w:t>
      </w:r>
      <w:hyperlink r:id="rId26" w:history="1">
        <w:r w:rsidRPr="00EE458B">
          <w:rPr>
            <w:rStyle w:val="Hyperlink"/>
          </w:rPr>
          <w:t xml:space="preserve">PowerPoint </w:t>
        </w:r>
        <w:r w:rsidR="008E65F5" w:rsidRPr="00EE458B">
          <w:rPr>
            <w:rStyle w:val="Hyperlink"/>
          </w:rPr>
          <w:t>presentation</w:t>
        </w:r>
      </w:hyperlink>
      <w:r w:rsidR="008E65F5">
        <w:t xml:space="preserve"> and </w:t>
      </w:r>
      <w:hyperlink r:id="rId27" w:history="1">
        <w:r w:rsidR="008E65F5" w:rsidRPr="00EE458B">
          <w:rPr>
            <w:rStyle w:val="Hyperlink"/>
          </w:rPr>
          <w:t>facilitator guide</w:t>
        </w:r>
      </w:hyperlink>
      <w:r w:rsidR="008E65F5" w:rsidRPr="00F2253B">
        <w:t xml:space="preserve"> </w:t>
      </w:r>
      <w:r w:rsidRPr="00F2253B">
        <w:t xml:space="preserve">on </w:t>
      </w:r>
      <w:r w:rsidRPr="00F2253B">
        <w:rPr>
          <w:b/>
          <w:bCs/>
        </w:rPr>
        <w:t xml:space="preserve">Identifying </w:t>
      </w:r>
      <w:r w:rsidR="00F953E7">
        <w:rPr>
          <w:b/>
          <w:bCs/>
        </w:rPr>
        <w:t>Y</w:t>
      </w:r>
      <w:r w:rsidRPr="00F2253B">
        <w:rPr>
          <w:b/>
          <w:bCs/>
        </w:rPr>
        <w:t>our ISCR stakeholders</w:t>
      </w:r>
      <w:r w:rsidRPr="00F2253B">
        <w:rPr>
          <w:bCs/>
        </w:rPr>
        <w:t xml:space="preserve">. This presentation will review </w:t>
      </w:r>
      <w:r w:rsidRPr="00F2253B">
        <w:t>who your ISCR stakeholders</w:t>
      </w:r>
      <w:r w:rsidR="008958CE">
        <w:t xml:space="preserve"> are</w:t>
      </w:r>
      <w:r w:rsidRPr="00F2253B">
        <w:t>, what role they play in ISCR</w:t>
      </w:r>
      <w:r w:rsidR="00F953E7">
        <w:t>,</w:t>
      </w:r>
      <w:r w:rsidRPr="00F2253B">
        <w:t xml:space="preserve"> and what</w:t>
      </w:r>
      <w:r w:rsidR="008958CE">
        <w:t xml:space="preserve"> </w:t>
      </w:r>
      <w:r w:rsidRPr="00F2253B">
        <w:t xml:space="preserve">the value </w:t>
      </w:r>
      <w:r w:rsidR="008958CE">
        <w:t>of</w:t>
      </w:r>
      <w:r w:rsidRPr="00F2253B">
        <w:t xml:space="preserve"> a doing a stakeholder analysis</w:t>
      </w:r>
      <w:r w:rsidR="008958CE">
        <w:t xml:space="preserve"> is.</w:t>
      </w:r>
      <w:r w:rsidRPr="00F2253B">
        <w:rPr>
          <w:bCs/>
        </w:rPr>
        <w:t xml:space="preserve"> </w:t>
      </w:r>
      <w:hyperlink r:id="rId28" w:history="1">
        <w:r w:rsidR="008E65F5" w:rsidRPr="00EE458B">
          <w:rPr>
            <w:rStyle w:val="Hyperlink"/>
            <w:b/>
            <w:bCs/>
          </w:rPr>
          <w:t>The Stakeholder Analysis</w:t>
        </w:r>
      </w:hyperlink>
      <w:r w:rsidR="008E65F5" w:rsidRPr="008E65F5">
        <w:rPr>
          <w:bCs/>
        </w:rPr>
        <w:t xml:space="preserve"> tool will help you identify and understand the perspectives of your key stakeholders.</w:t>
      </w:r>
    </w:p>
    <w:p w14:paraId="3BB88A65" w14:textId="54CB8DDD" w:rsidR="00945F22" w:rsidRPr="00F2253B" w:rsidRDefault="00945F22" w:rsidP="000F5535">
      <w:pPr>
        <w:pStyle w:val="Bullet1"/>
      </w:pPr>
      <w:r w:rsidRPr="00F2253B">
        <w:t xml:space="preserve">A </w:t>
      </w:r>
      <w:hyperlink r:id="rId29" w:history="1">
        <w:r w:rsidRPr="00EE458B">
          <w:rPr>
            <w:rStyle w:val="Hyperlink"/>
          </w:rPr>
          <w:t xml:space="preserve">PowerPoint </w:t>
        </w:r>
        <w:r w:rsidR="008E65F5" w:rsidRPr="00EE458B">
          <w:rPr>
            <w:rStyle w:val="Hyperlink"/>
          </w:rPr>
          <w:t>p</w:t>
        </w:r>
        <w:r w:rsidRPr="00EE458B">
          <w:rPr>
            <w:rStyle w:val="Hyperlink"/>
          </w:rPr>
          <w:t>resentation</w:t>
        </w:r>
      </w:hyperlink>
      <w:r w:rsidRPr="00F2253B">
        <w:t xml:space="preserve"> </w:t>
      </w:r>
      <w:r w:rsidR="008E65F5">
        <w:t xml:space="preserve">and </w:t>
      </w:r>
      <w:hyperlink r:id="rId30" w:history="1">
        <w:r w:rsidR="008E65F5" w:rsidRPr="00EE458B">
          <w:rPr>
            <w:rStyle w:val="Hyperlink"/>
          </w:rPr>
          <w:t>facilitator guide</w:t>
        </w:r>
      </w:hyperlink>
      <w:r w:rsidR="008E65F5">
        <w:t xml:space="preserve"> </w:t>
      </w:r>
      <w:r w:rsidRPr="00F2253B">
        <w:t xml:space="preserve">on </w:t>
      </w:r>
      <w:r w:rsidRPr="00F2253B">
        <w:rPr>
          <w:b/>
        </w:rPr>
        <w:t xml:space="preserve">Engaging </w:t>
      </w:r>
      <w:r w:rsidR="00F953E7">
        <w:rPr>
          <w:b/>
        </w:rPr>
        <w:t>Y</w:t>
      </w:r>
      <w:r w:rsidRPr="00F2253B">
        <w:rPr>
          <w:b/>
        </w:rPr>
        <w:t>our ISCR Stakeholders</w:t>
      </w:r>
      <w:r w:rsidRPr="00F2253B">
        <w:t xml:space="preserve">. </w:t>
      </w:r>
      <w:r w:rsidRPr="00F2253B">
        <w:rPr>
          <w:bCs/>
        </w:rPr>
        <w:t xml:space="preserve">This presentation will discuss </w:t>
      </w:r>
      <w:r w:rsidRPr="00F2253B">
        <w:t xml:space="preserve">how to create a compelling message and vision for your ISCR program so that you can engage your stakeholders in this effort. </w:t>
      </w:r>
      <w:r w:rsidR="008E65F5" w:rsidRPr="008E65F5">
        <w:t xml:space="preserve">The </w:t>
      </w:r>
      <w:hyperlink r:id="rId31" w:history="1">
        <w:r w:rsidR="008E65F5" w:rsidRPr="00EE458B">
          <w:rPr>
            <w:rStyle w:val="Hyperlink"/>
            <w:b/>
          </w:rPr>
          <w:t>Developing an Elevator Pitch</w:t>
        </w:r>
      </w:hyperlink>
      <w:r w:rsidR="008E65F5" w:rsidRPr="008E65F5">
        <w:t xml:space="preserve"> tool will help you develop and communicate your vision in a concise, clear, and compelling way.</w:t>
      </w:r>
    </w:p>
    <w:p w14:paraId="31A226C6" w14:textId="68172392" w:rsidR="00945F22" w:rsidRPr="00F2253B" w:rsidRDefault="00945F22" w:rsidP="000F5535">
      <w:pPr>
        <w:pStyle w:val="Bullet1"/>
      </w:pPr>
      <w:r w:rsidRPr="00F2253B">
        <w:lastRenderedPageBreak/>
        <w:t xml:space="preserve">A </w:t>
      </w:r>
      <w:hyperlink r:id="rId32" w:history="1">
        <w:r w:rsidRPr="00060C2E">
          <w:rPr>
            <w:rStyle w:val="Hyperlink"/>
            <w:b/>
          </w:rPr>
          <w:t>Sample ISCR Presentation for Senior Executives</w:t>
        </w:r>
      </w:hyperlink>
      <w:r w:rsidRPr="00F2253B">
        <w:t xml:space="preserve"> </w:t>
      </w:r>
      <w:r w:rsidR="008E65F5">
        <w:t xml:space="preserve">and an accompanying </w:t>
      </w:r>
      <w:hyperlink r:id="rId33" w:history="1">
        <w:r w:rsidR="008E65F5" w:rsidRPr="00060C2E">
          <w:rPr>
            <w:rStyle w:val="Hyperlink"/>
          </w:rPr>
          <w:t>facilitator guide</w:t>
        </w:r>
      </w:hyperlink>
      <w:r w:rsidR="008E65F5">
        <w:t xml:space="preserve"> </w:t>
      </w:r>
      <w:r w:rsidRPr="00F2253B">
        <w:t xml:space="preserve">to onboard and engage </w:t>
      </w:r>
      <w:r>
        <w:t>leadership</w:t>
      </w:r>
      <w:r w:rsidRPr="00F2253B">
        <w:t xml:space="preserve"> in your efforts.</w:t>
      </w:r>
    </w:p>
    <w:p w14:paraId="50626DA1" w14:textId="1EC2517D" w:rsidR="00945F22" w:rsidRPr="008366D6" w:rsidRDefault="00945F22" w:rsidP="000F5535">
      <w:pPr>
        <w:pStyle w:val="Bullet1"/>
        <w:rPr>
          <w:b/>
        </w:rPr>
      </w:pPr>
      <w:r w:rsidRPr="00F2253B">
        <w:t xml:space="preserve">A </w:t>
      </w:r>
      <w:hyperlink r:id="rId34" w:history="1">
        <w:r w:rsidRPr="00EE458B">
          <w:rPr>
            <w:rStyle w:val="Hyperlink"/>
            <w:b/>
          </w:rPr>
          <w:t>Sample ISCR Presentation for Frontline Provider Education</w:t>
        </w:r>
      </w:hyperlink>
      <w:r w:rsidRPr="00D149DF">
        <w:t xml:space="preserve"> </w:t>
      </w:r>
      <w:r w:rsidR="008E65F5" w:rsidRPr="00D149DF">
        <w:t xml:space="preserve">and accompanying </w:t>
      </w:r>
      <w:hyperlink r:id="rId35" w:history="1">
        <w:r w:rsidR="00507D3E" w:rsidRPr="00060C2E">
          <w:rPr>
            <w:rStyle w:val="Hyperlink"/>
          </w:rPr>
          <w:t>facilitator</w:t>
        </w:r>
        <w:r w:rsidR="008E65F5" w:rsidRPr="00060C2E">
          <w:rPr>
            <w:rStyle w:val="Hyperlink"/>
          </w:rPr>
          <w:t xml:space="preserve"> guide</w:t>
        </w:r>
      </w:hyperlink>
      <w:r w:rsidR="008E65F5" w:rsidRPr="00D149DF">
        <w:t xml:space="preserve"> to use to</w:t>
      </w:r>
      <w:r w:rsidR="008E65F5">
        <w:rPr>
          <w:b/>
        </w:rPr>
        <w:t xml:space="preserve"> </w:t>
      </w:r>
      <w:r w:rsidRPr="00F2253B">
        <w:t>engage frontline staff in the ISCR pathway early on and/or to share progress with them throughout the initiative to support sustainability.</w:t>
      </w:r>
    </w:p>
    <w:p w14:paraId="190EEAE5" w14:textId="48B3388D" w:rsidR="008366D6" w:rsidRPr="008366D6" w:rsidRDefault="008366D6" w:rsidP="000F5535">
      <w:pPr>
        <w:pStyle w:val="Bullet1"/>
        <w:rPr>
          <w:b/>
        </w:rPr>
      </w:pPr>
      <w:r w:rsidRPr="008366D6">
        <w:t xml:space="preserve">The </w:t>
      </w:r>
      <w:hyperlink r:id="rId36" w:history="1">
        <w:r w:rsidR="008E65F5" w:rsidRPr="00EE458B">
          <w:rPr>
            <w:rStyle w:val="Hyperlink"/>
            <w:b/>
          </w:rPr>
          <w:t>Template for Building and Implementing Your</w:t>
        </w:r>
        <w:r w:rsidR="008E65F5" w:rsidRPr="00EE458B">
          <w:rPr>
            <w:rStyle w:val="Hyperlink"/>
          </w:rPr>
          <w:t xml:space="preserve"> </w:t>
        </w:r>
        <w:r w:rsidRPr="00EE458B">
          <w:rPr>
            <w:rStyle w:val="Hyperlink"/>
            <w:b/>
          </w:rPr>
          <w:t>ISCR Pathway</w:t>
        </w:r>
      </w:hyperlink>
      <w:r w:rsidRPr="008366D6">
        <w:rPr>
          <w:b/>
        </w:rPr>
        <w:t xml:space="preserve"> </w:t>
      </w:r>
      <w:r w:rsidRPr="008366D6">
        <w:t xml:space="preserve">provides a visual for the ISCR pathway that is relatable to frontline staff, as well as for building order sets in the electronic health record. </w:t>
      </w:r>
    </w:p>
    <w:p w14:paraId="1575B362" w14:textId="195DC28E" w:rsidR="00E932A4" w:rsidRDefault="00FE24C3" w:rsidP="00EF3BD8">
      <w:pPr>
        <w:pStyle w:val="Bullet1"/>
      </w:pPr>
      <w:hyperlink r:id="rId37" w:history="1">
        <w:r w:rsidR="00E63EDC" w:rsidRPr="00EE458B">
          <w:rPr>
            <w:rStyle w:val="Hyperlink"/>
          </w:rPr>
          <w:t>A</w:t>
        </w:r>
        <w:r w:rsidR="0067685A" w:rsidRPr="00EE458B">
          <w:rPr>
            <w:rStyle w:val="Hyperlink"/>
          </w:rPr>
          <w:t xml:space="preserve">n </w:t>
        </w:r>
        <w:r w:rsidR="0067685A" w:rsidRPr="00EE458B">
          <w:rPr>
            <w:rStyle w:val="Hyperlink"/>
            <w:b/>
          </w:rPr>
          <w:t xml:space="preserve">Engaging Frontline Staff </w:t>
        </w:r>
        <w:proofErr w:type="gramStart"/>
        <w:r w:rsidR="00EE458B" w:rsidRPr="00FE24C3">
          <w:rPr>
            <w:rStyle w:val="Hyperlink"/>
            <w:b/>
          </w:rPr>
          <w:t>W</w:t>
        </w:r>
        <w:r w:rsidR="0067685A" w:rsidRPr="00FE24C3">
          <w:rPr>
            <w:rStyle w:val="Hyperlink"/>
            <w:b/>
          </w:rPr>
          <w:t>ith</w:t>
        </w:r>
        <w:proofErr w:type="gramEnd"/>
        <w:r w:rsidR="0067685A" w:rsidRPr="00EE458B">
          <w:rPr>
            <w:rStyle w:val="Hyperlink"/>
            <w:b/>
          </w:rPr>
          <w:t xml:space="preserve"> ISCR Process and Outcome Data</w:t>
        </w:r>
      </w:hyperlink>
      <w:r w:rsidR="0067685A" w:rsidRPr="0067685A">
        <w:t xml:space="preserve"> </w:t>
      </w:r>
      <w:r w:rsidR="008E65F5">
        <w:t xml:space="preserve">tool </w:t>
      </w:r>
      <w:r w:rsidR="0067685A">
        <w:t xml:space="preserve">to help you </w:t>
      </w:r>
      <w:r w:rsidR="004B2B7C">
        <w:t>identify which ISCR measures to share</w:t>
      </w:r>
      <w:r w:rsidR="0067685A">
        <w:t xml:space="preserve"> </w:t>
      </w:r>
      <w:r w:rsidR="00E05E65">
        <w:t xml:space="preserve">and think about the best way to </w:t>
      </w:r>
      <w:r w:rsidR="0067685A" w:rsidRPr="0067685A">
        <w:t>share</w:t>
      </w:r>
      <w:r w:rsidR="0067685A">
        <w:t xml:space="preserve"> </w:t>
      </w:r>
      <w:r w:rsidR="004B2B7C">
        <w:t>them</w:t>
      </w:r>
      <w:r w:rsidR="0067685A">
        <w:t xml:space="preserve"> </w:t>
      </w:r>
      <w:r w:rsidR="00E05E65">
        <w:t>with</w:t>
      </w:r>
      <w:r w:rsidR="0067685A">
        <w:t xml:space="preserve"> key stakeholders at your hospital. </w:t>
      </w:r>
    </w:p>
    <w:p w14:paraId="2518BA24" w14:textId="2FA5FA41" w:rsidR="00E932A4" w:rsidRPr="00EE39CA" w:rsidRDefault="00E932A4" w:rsidP="00030262">
      <w:pPr>
        <w:pStyle w:val="Section3Title"/>
        <w:rPr>
          <w:rFonts w:asciiTheme="majorHAnsi" w:hAnsiTheme="majorHAnsi" w:cstheme="majorHAnsi"/>
          <w:b/>
          <w:i w:val="0"/>
          <w:color w:val="000000" w:themeColor="text1"/>
          <w:sz w:val="28"/>
        </w:rPr>
      </w:pPr>
      <w:r w:rsidRPr="00EE39CA">
        <w:rPr>
          <w:rFonts w:asciiTheme="majorHAnsi" w:hAnsiTheme="majorHAnsi" w:cstheme="majorHAnsi"/>
          <w:i w:val="0"/>
          <w:sz w:val="28"/>
        </w:rPr>
        <w:t xml:space="preserve">Presentations </w:t>
      </w:r>
      <w:r w:rsidR="008E65F5" w:rsidRPr="00EE39CA">
        <w:rPr>
          <w:rFonts w:asciiTheme="majorHAnsi" w:hAnsiTheme="majorHAnsi" w:cstheme="majorHAnsi"/>
          <w:i w:val="0"/>
          <w:sz w:val="28"/>
        </w:rPr>
        <w:t>on the ISCR Evidence</w:t>
      </w:r>
    </w:p>
    <w:p w14:paraId="6862EA0D" w14:textId="283A0CF8" w:rsidR="008E65F5" w:rsidRDefault="008E65F5" w:rsidP="008E65F5">
      <w:pPr>
        <w:pStyle w:val="Bullet1"/>
      </w:pPr>
      <w:r>
        <w:t xml:space="preserve">A </w:t>
      </w:r>
      <w:hyperlink r:id="rId38" w:history="1">
        <w:r w:rsidRPr="00060C2E">
          <w:rPr>
            <w:rStyle w:val="Hyperlink"/>
          </w:rPr>
          <w:t xml:space="preserve">PowerPoint </w:t>
        </w:r>
        <w:r w:rsidR="00507D3E" w:rsidRPr="00060C2E">
          <w:rPr>
            <w:rStyle w:val="Hyperlink"/>
          </w:rPr>
          <w:t>p</w:t>
        </w:r>
        <w:r w:rsidRPr="00060C2E">
          <w:rPr>
            <w:rStyle w:val="Hyperlink"/>
          </w:rPr>
          <w:t>resentation</w:t>
        </w:r>
      </w:hyperlink>
      <w:r>
        <w:t xml:space="preserve"> and </w:t>
      </w:r>
      <w:hyperlink r:id="rId39" w:history="1">
        <w:r w:rsidRPr="00060C2E">
          <w:rPr>
            <w:rStyle w:val="Hyperlink"/>
          </w:rPr>
          <w:t>facilitator guide</w:t>
        </w:r>
      </w:hyperlink>
      <w:r>
        <w:t xml:space="preserve"> on </w:t>
      </w:r>
      <w:r w:rsidRPr="00D149DF">
        <w:rPr>
          <w:b/>
        </w:rPr>
        <w:t>Oral Antibiotics and Mechanical Bowel Prep for SSI Prevention for Colorectal Surgery</w:t>
      </w:r>
      <w:r>
        <w:t xml:space="preserve"> </w:t>
      </w:r>
    </w:p>
    <w:p w14:paraId="35B9EABC" w14:textId="73C4F009" w:rsidR="008E65F5" w:rsidRDefault="008E65F5" w:rsidP="008E65F5">
      <w:pPr>
        <w:pStyle w:val="Bullet1"/>
      </w:pPr>
      <w:r>
        <w:t xml:space="preserve">A </w:t>
      </w:r>
      <w:hyperlink r:id="rId40" w:history="1">
        <w:r w:rsidRPr="00EE458B">
          <w:rPr>
            <w:rStyle w:val="Hyperlink"/>
          </w:rPr>
          <w:t xml:space="preserve">PowerPoint </w:t>
        </w:r>
        <w:r w:rsidR="00507D3E" w:rsidRPr="00EE458B">
          <w:rPr>
            <w:rStyle w:val="Hyperlink"/>
          </w:rPr>
          <w:t>p</w:t>
        </w:r>
        <w:r w:rsidRPr="00EE458B">
          <w:rPr>
            <w:rStyle w:val="Hyperlink"/>
          </w:rPr>
          <w:t>resentation</w:t>
        </w:r>
      </w:hyperlink>
      <w:r>
        <w:t xml:space="preserve"> and </w:t>
      </w:r>
      <w:hyperlink r:id="rId41" w:history="1">
        <w:r w:rsidRPr="00EE458B">
          <w:rPr>
            <w:rStyle w:val="Hyperlink"/>
          </w:rPr>
          <w:t>facilitator guide</w:t>
        </w:r>
      </w:hyperlink>
      <w:r>
        <w:t xml:space="preserve"> on </w:t>
      </w:r>
      <w:r w:rsidRPr="00D149DF">
        <w:rPr>
          <w:b/>
        </w:rPr>
        <w:t>Multimodal Analgesia Tips</w:t>
      </w:r>
      <w:r>
        <w:t xml:space="preserve">  </w:t>
      </w:r>
    </w:p>
    <w:p w14:paraId="1226AA2E" w14:textId="2B73984B" w:rsidR="00FA4CA1" w:rsidRPr="00FA4CA1" w:rsidRDefault="008E65F5" w:rsidP="000D7C4C">
      <w:pPr>
        <w:pStyle w:val="Bullet1"/>
        <w:numPr>
          <w:ilvl w:val="0"/>
          <w:numId w:val="0"/>
        </w:numPr>
        <w:ind w:left="720"/>
      </w:pPr>
      <w:r>
        <w:t xml:space="preserve">A </w:t>
      </w:r>
      <w:hyperlink r:id="rId42" w:history="1">
        <w:r w:rsidRPr="009400D2">
          <w:rPr>
            <w:rStyle w:val="Hyperlink"/>
          </w:rPr>
          <w:t xml:space="preserve">PowerPoint </w:t>
        </w:r>
        <w:r w:rsidR="00507D3E" w:rsidRPr="009400D2">
          <w:rPr>
            <w:rStyle w:val="Hyperlink"/>
          </w:rPr>
          <w:t>p</w:t>
        </w:r>
        <w:r w:rsidRPr="009400D2">
          <w:rPr>
            <w:rStyle w:val="Hyperlink"/>
          </w:rPr>
          <w:t>resentation</w:t>
        </w:r>
      </w:hyperlink>
      <w:r>
        <w:t xml:space="preserve"> and </w:t>
      </w:r>
      <w:hyperlink r:id="rId43" w:history="1">
        <w:r w:rsidRPr="009400D2">
          <w:rPr>
            <w:rStyle w:val="Hyperlink"/>
          </w:rPr>
          <w:t>facilitator guide</w:t>
        </w:r>
      </w:hyperlink>
      <w:r>
        <w:t xml:space="preserve"> on </w:t>
      </w:r>
      <w:r w:rsidRPr="008A41F4">
        <w:rPr>
          <w:b/>
        </w:rPr>
        <w:t>Regional Analgesia for Joint Replacement</w:t>
      </w:r>
      <w:r>
        <w:t xml:space="preserve"> </w:t>
      </w:r>
    </w:p>
    <w:p w14:paraId="50E36BD3" w14:textId="461E09D7" w:rsidR="00E932A4" w:rsidRPr="00EE39CA" w:rsidRDefault="00FA4CA1" w:rsidP="00030262">
      <w:pPr>
        <w:pStyle w:val="Section3Title"/>
        <w:rPr>
          <w:rFonts w:asciiTheme="majorHAnsi" w:hAnsiTheme="majorHAnsi" w:cstheme="majorHAnsi"/>
          <w:i w:val="0"/>
          <w:sz w:val="28"/>
        </w:rPr>
      </w:pPr>
      <w:r w:rsidRPr="00EE39CA">
        <w:rPr>
          <w:rFonts w:asciiTheme="majorHAnsi" w:hAnsiTheme="majorHAnsi" w:cstheme="majorHAnsi"/>
          <w:i w:val="0"/>
          <w:sz w:val="28"/>
        </w:rPr>
        <w:t>Implementing Your ISCR Pathway</w:t>
      </w:r>
    </w:p>
    <w:p w14:paraId="6FCCC4B5" w14:textId="5DF9D728" w:rsidR="008366D6" w:rsidRPr="008366D6" w:rsidRDefault="008366D6" w:rsidP="004E42EE">
      <w:pPr>
        <w:pStyle w:val="Bullet1"/>
      </w:pPr>
      <w:r w:rsidRPr="008366D6">
        <w:t xml:space="preserve">The </w:t>
      </w:r>
      <w:hyperlink r:id="rId44" w:history="1">
        <w:r w:rsidRPr="009400D2">
          <w:rPr>
            <w:rStyle w:val="Hyperlink"/>
            <w:b/>
          </w:rPr>
          <w:t>ISCR Pathway Worksheet</w:t>
        </w:r>
      </w:hyperlink>
      <w:r w:rsidRPr="008366D6">
        <w:t xml:space="preserve"> to help teams develop an </w:t>
      </w:r>
      <w:r w:rsidR="00292AB9">
        <w:t>ISCR</w:t>
      </w:r>
      <w:r w:rsidRPr="008366D6">
        <w:t xml:space="preserve"> pathway for use at their hospital. </w:t>
      </w:r>
      <w:r w:rsidR="00EB4C08">
        <w:t>The ISCR Pathway Worksheet ha</w:t>
      </w:r>
      <w:r w:rsidR="008E65F5">
        <w:t>s</w:t>
      </w:r>
      <w:r w:rsidR="00EB4C08">
        <w:t xml:space="preserve"> been condensed into </w:t>
      </w:r>
      <w:r w:rsidR="008E65F5">
        <w:t>c</w:t>
      </w:r>
      <w:r w:rsidR="00EB4C08" w:rsidRPr="00765E91">
        <w:t xml:space="preserve">ore </w:t>
      </w:r>
      <w:r w:rsidR="00EB4C08">
        <w:t xml:space="preserve">components that span </w:t>
      </w:r>
      <w:r w:rsidR="008E65F5">
        <w:t>all ISCR</w:t>
      </w:r>
      <w:r w:rsidR="00EB4C08">
        <w:t xml:space="preserve"> pathways </w:t>
      </w:r>
      <w:r w:rsidR="00EB4C08" w:rsidRPr="00765E91">
        <w:t>for</w:t>
      </w:r>
      <w:r w:rsidR="00EB4C08">
        <w:t xml:space="preserve"> either emergent or</w:t>
      </w:r>
      <w:r w:rsidR="00EB4C08" w:rsidRPr="00765E91">
        <w:t xml:space="preserve"> nonemergent procedures with supplemental sections</w:t>
      </w:r>
      <w:r w:rsidR="00D209C5">
        <w:t xml:space="preserve"> and notes for </w:t>
      </w:r>
      <w:r w:rsidR="00EB4C08" w:rsidRPr="00765E91">
        <w:t xml:space="preserve">service line </w:t>
      </w:r>
      <w:r w:rsidR="00D209C5">
        <w:t xml:space="preserve">or patient population </w:t>
      </w:r>
      <w:r w:rsidR="00EB4C08" w:rsidRPr="00765E91">
        <w:t>specific components</w:t>
      </w:r>
      <w:r w:rsidR="00EB4C08">
        <w:t>.</w:t>
      </w:r>
      <w:r w:rsidR="00EB4C08" w:rsidRPr="008366D6">
        <w:t xml:space="preserve"> </w:t>
      </w:r>
      <w:r w:rsidR="00EB4C08">
        <w:t xml:space="preserve">The information in </w:t>
      </w:r>
      <w:r w:rsidR="00292AB9">
        <w:t>this</w:t>
      </w:r>
      <w:r w:rsidR="00292AB9" w:rsidRPr="008366D6">
        <w:t xml:space="preserve"> </w:t>
      </w:r>
      <w:r w:rsidR="00EB4C08">
        <w:t xml:space="preserve">tool is </w:t>
      </w:r>
      <w:r w:rsidRPr="008366D6">
        <w:t>based on evidence review</w:t>
      </w:r>
      <w:r w:rsidR="00292AB9">
        <w:t>s</w:t>
      </w:r>
      <w:r w:rsidRPr="008366D6">
        <w:t xml:space="preserve"> conducted for AHRQ.</w:t>
      </w:r>
      <w:r w:rsidR="00EB4C08">
        <w:t xml:space="preserve"> </w:t>
      </w:r>
    </w:p>
    <w:p w14:paraId="7ACB25AE" w14:textId="44F7195B" w:rsidR="008366D6" w:rsidRPr="00181A58" w:rsidRDefault="008366D6" w:rsidP="004E42EE">
      <w:pPr>
        <w:pStyle w:val="Bullet1"/>
        <w:rPr>
          <w:b/>
        </w:rPr>
      </w:pPr>
      <w:r w:rsidRPr="00181A58">
        <w:t xml:space="preserve">A </w:t>
      </w:r>
      <w:hyperlink r:id="rId45" w:history="1">
        <w:r w:rsidRPr="00060C2E">
          <w:rPr>
            <w:rStyle w:val="Hyperlink"/>
            <w:b/>
          </w:rPr>
          <w:t>Sample ISCR Pathway Checklist</w:t>
        </w:r>
      </w:hyperlink>
      <w:r w:rsidRPr="00181A58">
        <w:rPr>
          <w:b/>
        </w:rPr>
        <w:t xml:space="preserve"> </w:t>
      </w:r>
      <w:r w:rsidRPr="00181A58">
        <w:t>that clinicians</w:t>
      </w:r>
      <w:r w:rsidR="00BE73B6">
        <w:t xml:space="preserve"> can use</w:t>
      </w:r>
      <w:r w:rsidRPr="00181A58">
        <w:t xml:space="preserve"> as they provide care within their own area</w:t>
      </w:r>
      <w:r w:rsidR="00BE73B6">
        <w:t xml:space="preserve"> and </w:t>
      </w:r>
      <w:r w:rsidRPr="00181A58">
        <w:t>handoff care to other team</w:t>
      </w:r>
      <w:r w:rsidR="00BE73B6">
        <w:t>s. The Sample ISCR Pathway Checklist can also be used for</w:t>
      </w:r>
      <w:r w:rsidRPr="00181A58">
        <w:t xml:space="preserve"> real-time data collection to monitor pathway compliance.</w:t>
      </w:r>
    </w:p>
    <w:p w14:paraId="6F850A92" w14:textId="62AE6747" w:rsidR="008366D6" w:rsidRPr="008366D6" w:rsidRDefault="008366D6" w:rsidP="004E42EE">
      <w:pPr>
        <w:pStyle w:val="Bullet1"/>
      </w:pPr>
      <w:r w:rsidRPr="008366D6">
        <w:t xml:space="preserve">A </w:t>
      </w:r>
      <w:hyperlink r:id="rId46" w:history="1">
        <w:r w:rsidRPr="00060C2E">
          <w:rPr>
            <w:rStyle w:val="Hyperlink"/>
            <w:b/>
          </w:rPr>
          <w:t>Guide to Leading Successful Perioperative Teams</w:t>
        </w:r>
      </w:hyperlink>
      <w:r w:rsidRPr="008366D6">
        <w:t xml:space="preserve"> </w:t>
      </w:r>
      <w:r w:rsidR="00BF4A13">
        <w:t>presents</w:t>
      </w:r>
      <w:r w:rsidR="00244F65">
        <w:t xml:space="preserve"> </w:t>
      </w:r>
      <w:r w:rsidR="00BF4A13" w:rsidRPr="00BF4A13">
        <w:t xml:space="preserve">critical behaviors for leading successful perioperative teams as well as practical tips on how to </w:t>
      </w:r>
      <w:r w:rsidR="00B430EF">
        <w:t>replicate</w:t>
      </w:r>
      <w:r w:rsidR="00B430EF" w:rsidRPr="00BF4A13">
        <w:t xml:space="preserve"> </w:t>
      </w:r>
      <w:r w:rsidR="00BF4A13" w:rsidRPr="00BF4A13">
        <w:t>these behaviors in your organization.</w:t>
      </w:r>
    </w:p>
    <w:p w14:paraId="432C6DF6" w14:textId="103144BB" w:rsidR="00FA4EF5" w:rsidRPr="00D33470" w:rsidRDefault="00FE24C3" w:rsidP="004E42EE">
      <w:pPr>
        <w:pStyle w:val="Bullet1"/>
      </w:pPr>
      <w:hyperlink r:id="rId47" w:history="1">
        <w:r w:rsidR="00FA4EF5" w:rsidRPr="00FE24C3">
          <w:rPr>
            <w:rStyle w:val="Hyperlink"/>
            <w:b/>
          </w:rPr>
          <w:t>ISCR Surgery Patient Education Booklets</w:t>
        </w:r>
      </w:hyperlink>
      <w:r w:rsidR="00FA4EF5" w:rsidRPr="00181A58">
        <w:rPr>
          <w:b/>
        </w:rPr>
        <w:t xml:space="preserve"> </w:t>
      </w:r>
      <w:r w:rsidR="00FA4EF5" w:rsidRPr="00181A58">
        <w:t>t</w:t>
      </w:r>
      <w:r w:rsidR="00FA4EF5">
        <w:t>o</w:t>
      </w:r>
      <w:r w:rsidR="00FA4EF5" w:rsidRPr="00181A58">
        <w:rPr>
          <w:b/>
        </w:rPr>
        <w:t xml:space="preserve"> </w:t>
      </w:r>
      <w:r w:rsidR="00FA4EF5" w:rsidRPr="00181A58">
        <w:t xml:space="preserve">help </w:t>
      </w:r>
      <w:r w:rsidR="00FA4EF5">
        <w:t>you create</w:t>
      </w:r>
      <w:r w:rsidR="00FA4EF5" w:rsidRPr="00181A58">
        <w:t xml:space="preserve"> your local patient education </w:t>
      </w:r>
      <w:r w:rsidR="00FA4EF5">
        <w:t>material. Sample books for each service line were developed by surgeons with input from patients and family members.</w:t>
      </w:r>
    </w:p>
    <w:p w14:paraId="6B148A8F" w14:textId="77777777" w:rsidR="00945F22" w:rsidRPr="00F2253B" w:rsidRDefault="00945F22" w:rsidP="004E42EE">
      <w:pPr>
        <w:pStyle w:val="BodyText1"/>
      </w:pPr>
    </w:p>
    <w:p w14:paraId="172741B2" w14:textId="77777777" w:rsidR="00292AB9" w:rsidRDefault="00292AB9">
      <w:pPr>
        <w:rPr>
          <w:b/>
          <w:bCs/>
          <w:sz w:val="28"/>
          <w:szCs w:val="28"/>
        </w:rPr>
      </w:pPr>
      <w:r>
        <w:br w:type="page"/>
      </w:r>
    </w:p>
    <w:p w14:paraId="0E147E52" w14:textId="56D74C76" w:rsidR="00945F22" w:rsidRPr="001F1854" w:rsidRDefault="006C00CE" w:rsidP="004E42EE">
      <w:pPr>
        <w:pStyle w:val="Section2Title"/>
      </w:pPr>
      <w:r>
        <w:lastRenderedPageBreak/>
        <w:t>Measuring the I</w:t>
      </w:r>
      <w:r w:rsidR="00E63EDC" w:rsidRPr="001F1854">
        <w:t xml:space="preserve">mpact of </w:t>
      </w:r>
      <w:r w:rsidR="00363FFA">
        <w:t>Y</w:t>
      </w:r>
      <w:r w:rsidR="00E63EDC" w:rsidRPr="001F1854">
        <w:t>our</w:t>
      </w:r>
      <w:r w:rsidR="00945F22" w:rsidRPr="001F1854">
        <w:t xml:space="preserve"> Program for Improving Surgical Care and Recovery </w:t>
      </w:r>
    </w:p>
    <w:p w14:paraId="0F0912CF" w14:textId="1C9D223C" w:rsidR="00D209C5" w:rsidRPr="001F1854" w:rsidRDefault="00945F22" w:rsidP="004E42EE">
      <w:pPr>
        <w:pStyle w:val="BodyText1"/>
      </w:pPr>
      <w:r w:rsidRPr="001F1854">
        <w:t xml:space="preserve">This </w:t>
      </w:r>
      <w:r w:rsidR="001F1854">
        <w:t>section</w:t>
      </w:r>
      <w:r w:rsidRPr="001F1854">
        <w:t xml:space="preserve"> consists of </w:t>
      </w:r>
      <w:r w:rsidR="001F1854">
        <w:t xml:space="preserve">four tools that can be modified </w:t>
      </w:r>
      <w:r w:rsidRPr="001F1854">
        <w:t xml:space="preserve">based on the </w:t>
      </w:r>
      <w:r w:rsidR="00292AB9">
        <w:t>service line</w:t>
      </w:r>
      <w:r w:rsidRPr="001F1854">
        <w:t xml:space="preserve"> chosen by the hospital</w:t>
      </w:r>
      <w:r w:rsidR="001F1854" w:rsidRPr="001F1854">
        <w:t xml:space="preserve"> (colorectal</w:t>
      </w:r>
      <w:r w:rsidR="00D209C5">
        <w:t xml:space="preserve"> surgery</w:t>
      </w:r>
      <w:r w:rsidR="001F1854" w:rsidRPr="001F1854">
        <w:t>, hip fracture</w:t>
      </w:r>
      <w:r w:rsidR="00D209C5">
        <w:t xml:space="preserve"> surgery</w:t>
      </w:r>
      <w:r w:rsidR="001F1854" w:rsidRPr="001F1854">
        <w:t xml:space="preserve">, </w:t>
      </w:r>
      <w:r w:rsidR="00D209C5">
        <w:t xml:space="preserve">hip/knee </w:t>
      </w:r>
      <w:r w:rsidR="001F1854" w:rsidRPr="001F1854">
        <w:t>replacement</w:t>
      </w:r>
      <w:r w:rsidR="00D209C5">
        <w:t xml:space="preserve"> surgery</w:t>
      </w:r>
      <w:r w:rsidR="001F1854" w:rsidRPr="001F1854">
        <w:t>, gynecolog</w:t>
      </w:r>
      <w:r w:rsidR="00D209C5">
        <w:t>ic surgery</w:t>
      </w:r>
      <w:r w:rsidR="00F953E7">
        <w:t>,</w:t>
      </w:r>
      <w:r w:rsidR="001F1854" w:rsidRPr="001F1854">
        <w:t xml:space="preserve"> or emergency general surgery)</w:t>
      </w:r>
      <w:r w:rsidRPr="001F1854">
        <w:t xml:space="preserve">. </w:t>
      </w:r>
      <w:r w:rsidR="001F1854">
        <w:t xml:space="preserve">The tools help teams use data to monitor progress and evaluate the impact of their ISCR program. This section </w:t>
      </w:r>
      <w:r w:rsidRPr="001F1854">
        <w:t xml:space="preserve">includes the tools described below. </w:t>
      </w:r>
    </w:p>
    <w:p w14:paraId="5D0BF463" w14:textId="3A928B5A" w:rsidR="00945F22" w:rsidRPr="00B9717E" w:rsidRDefault="008366D6" w:rsidP="004E42EE">
      <w:pPr>
        <w:pStyle w:val="Bullet1"/>
      </w:pPr>
      <w:r>
        <w:t>The</w:t>
      </w:r>
      <w:r w:rsidR="00945F22" w:rsidRPr="00B9717E">
        <w:rPr>
          <w:b/>
        </w:rPr>
        <w:t xml:space="preserve"> </w:t>
      </w:r>
      <w:hyperlink r:id="rId48" w:history="1">
        <w:r w:rsidR="00945F22" w:rsidRPr="009400D2">
          <w:rPr>
            <w:rStyle w:val="Hyperlink"/>
            <w:b/>
          </w:rPr>
          <w:t>ISCR Pathway Worksheet</w:t>
        </w:r>
      </w:hyperlink>
      <w:r w:rsidR="00945F22" w:rsidRPr="00B9717E">
        <w:rPr>
          <w:b/>
        </w:rPr>
        <w:t xml:space="preserve"> </w:t>
      </w:r>
      <w:r w:rsidR="00945F22" w:rsidRPr="00B9717E">
        <w:t xml:space="preserve">to help teams develop an </w:t>
      </w:r>
      <w:r w:rsidR="00292AB9">
        <w:t>ISCR</w:t>
      </w:r>
      <w:r w:rsidR="00945F22" w:rsidRPr="00B9717E">
        <w:t xml:space="preserve"> pathway for use at their hospital. The information in this tool is based on evidence review</w:t>
      </w:r>
      <w:r w:rsidR="00292AB9">
        <w:t>s</w:t>
      </w:r>
      <w:r w:rsidR="00945F22" w:rsidRPr="00B9717E">
        <w:t xml:space="preserve"> conducted for AHRQ.</w:t>
      </w:r>
    </w:p>
    <w:p w14:paraId="7F41C5EA" w14:textId="5809EB0B" w:rsidR="00945F22" w:rsidRPr="00181A58" w:rsidRDefault="00945F22" w:rsidP="004E42EE">
      <w:pPr>
        <w:pStyle w:val="Bullet1"/>
        <w:rPr>
          <w:b/>
        </w:rPr>
      </w:pPr>
      <w:r w:rsidRPr="00181A58">
        <w:t xml:space="preserve">A </w:t>
      </w:r>
      <w:hyperlink r:id="rId49" w:history="1">
        <w:r w:rsidRPr="00515CDB">
          <w:rPr>
            <w:rStyle w:val="Hyperlink"/>
            <w:b/>
          </w:rPr>
          <w:t>Sample ISCR Pathway Checklist</w:t>
        </w:r>
      </w:hyperlink>
      <w:r w:rsidRPr="00181A58">
        <w:rPr>
          <w:b/>
        </w:rPr>
        <w:t xml:space="preserve"> </w:t>
      </w:r>
      <w:r w:rsidRPr="00181A58">
        <w:t xml:space="preserve">that </w:t>
      </w:r>
      <w:r w:rsidR="00F953E7">
        <w:t xml:space="preserve">clinicians </w:t>
      </w:r>
      <w:r w:rsidRPr="00181A58">
        <w:t>can use as they provide care within their own area</w:t>
      </w:r>
      <w:r w:rsidR="00BE73B6">
        <w:t xml:space="preserve"> and </w:t>
      </w:r>
      <w:r w:rsidRPr="00181A58">
        <w:t>handoff care to other team</w:t>
      </w:r>
      <w:r w:rsidR="00BE73B6">
        <w:t xml:space="preserve">s. The Sample ISCR Pathway Checklist can also be used for </w:t>
      </w:r>
      <w:r w:rsidRPr="00181A58">
        <w:t>real-time data collection to monitor pathway compliance.</w:t>
      </w:r>
    </w:p>
    <w:p w14:paraId="11A8D780" w14:textId="5B718DCE" w:rsidR="004B2B7C" w:rsidRPr="004B2B7C" w:rsidRDefault="00FA4EF5" w:rsidP="004E42EE">
      <w:pPr>
        <w:pStyle w:val="Bullet1"/>
      </w:pPr>
      <w:r>
        <w:t xml:space="preserve">A </w:t>
      </w:r>
      <w:hyperlink r:id="rId50" w:history="1">
        <w:r w:rsidRPr="00515CDB">
          <w:rPr>
            <w:rStyle w:val="Hyperlink"/>
            <w:b/>
          </w:rPr>
          <w:t>Pathway Audit Tool</w:t>
        </w:r>
      </w:hyperlink>
      <w:r>
        <w:t xml:space="preserve"> to help you measure compliance </w:t>
      </w:r>
      <w:r w:rsidR="00B430EF">
        <w:t>with</w:t>
      </w:r>
      <w:r>
        <w:t xml:space="preserve"> ISCR process</w:t>
      </w:r>
      <w:r w:rsidR="00D209C5">
        <w:t xml:space="preserve"> </w:t>
      </w:r>
      <w:r>
        <w:t xml:space="preserve">measures. </w:t>
      </w:r>
    </w:p>
    <w:p w14:paraId="5F20E5EE" w14:textId="1E70B143" w:rsidR="00945F22" w:rsidRDefault="004B2B7C" w:rsidP="00800310">
      <w:pPr>
        <w:pStyle w:val="Bullet1"/>
      </w:pPr>
      <w:r w:rsidRPr="0067685A">
        <w:t xml:space="preserve">An </w:t>
      </w:r>
      <w:hyperlink r:id="rId51" w:history="1">
        <w:r w:rsidRPr="009400D2">
          <w:rPr>
            <w:rStyle w:val="Hyperlink"/>
            <w:b/>
          </w:rPr>
          <w:t xml:space="preserve">Engaging Frontline Staff </w:t>
        </w:r>
        <w:r w:rsidR="00F953E7" w:rsidRPr="009400D2">
          <w:rPr>
            <w:rStyle w:val="Hyperlink"/>
            <w:b/>
          </w:rPr>
          <w:t>W</w:t>
        </w:r>
        <w:r w:rsidRPr="009400D2">
          <w:rPr>
            <w:rStyle w:val="Hyperlink"/>
            <w:b/>
          </w:rPr>
          <w:t>ith ISCR Process and Outcome Data</w:t>
        </w:r>
      </w:hyperlink>
      <w:r w:rsidRPr="0067685A">
        <w:t xml:space="preserve"> </w:t>
      </w:r>
      <w:r w:rsidR="00D209C5">
        <w:t xml:space="preserve">tool </w:t>
      </w:r>
      <w:r>
        <w:t xml:space="preserve">to help you </w:t>
      </w:r>
      <w:r w:rsidR="00FA4EF5">
        <w:t>track the ISCR measures you’ve shared with stakeholders so you can provide regular updates on changes in process</w:t>
      </w:r>
      <w:r w:rsidR="001F1854">
        <w:t xml:space="preserve"> measure compliance </w:t>
      </w:r>
      <w:r w:rsidR="00FA4EF5">
        <w:t>and outcome measures over time.</w:t>
      </w:r>
    </w:p>
    <w:p w14:paraId="351EE551" w14:textId="77777777" w:rsidR="008A41F4" w:rsidRPr="00F2253B" w:rsidRDefault="008A41F4" w:rsidP="008A41F4">
      <w:pPr>
        <w:pStyle w:val="Bullet1"/>
        <w:numPr>
          <w:ilvl w:val="0"/>
          <w:numId w:val="0"/>
        </w:numPr>
        <w:ind w:left="720"/>
      </w:pPr>
    </w:p>
    <w:p w14:paraId="0C21C7E3" w14:textId="2C986369" w:rsidR="00945F22" w:rsidRPr="001F1854" w:rsidRDefault="00945F22" w:rsidP="00640D99">
      <w:pPr>
        <w:pStyle w:val="Section2Title"/>
      </w:pPr>
      <w:r w:rsidRPr="001F1854">
        <w:t>Sustaini</w:t>
      </w:r>
      <w:r w:rsidR="007205F2">
        <w:t xml:space="preserve">ng and Spreading </w:t>
      </w:r>
      <w:r w:rsidRPr="001F1854">
        <w:t>a Program for Improving Surgical Care and Recovery</w:t>
      </w:r>
    </w:p>
    <w:p w14:paraId="06FDFC93" w14:textId="0D3C3B38" w:rsidR="00945F22" w:rsidRPr="001F1854" w:rsidRDefault="00945F22" w:rsidP="00640D99">
      <w:pPr>
        <w:pStyle w:val="BodyText1"/>
      </w:pPr>
      <w:r w:rsidRPr="001F1854">
        <w:t xml:space="preserve">This </w:t>
      </w:r>
      <w:r w:rsidR="002B0724">
        <w:t xml:space="preserve">section </w:t>
      </w:r>
      <w:r w:rsidRPr="001F1854">
        <w:t xml:space="preserve">is designed to help a hospital sustain and spread their </w:t>
      </w:r>
      <w:r w:rsidR="00D06ED3">
        <w:t>ISCR program</w:t>
      </w:r>
      <w:r w:rsidRPr="001F1854">
        <w:t xml:space="preserve">. The </w:t>
      </w:r>
      <w:r w:rsidR="002B0724">
        <w:t>section</w:t>
      </w:r>
      <w:r w:rsidRPr="001F1854">
        <w:t xml:space="preserve"> includes the following tools:</w:t>
      </w:r>
    </w:p>
    <w:p w14:paraId="441C2A16" w14:textId="55838E2F" w:rsidR="00945F22" w:rsidRPr="00B642BB" w:rsidRDefault="00945F22" w:rsidP="00653EEA">
      <w:pPr>
        <w:pStyle w:val="Bullet1"/>
        <w:rPr>
          <w:b/>
        </w:rPr>
      </w:pPr>
      <w:r w:rsidRPr="001F1854">
        <w:t>A</w:t>
      </w:r>
      <w:r w:rsidR="00D209C5">
        <w:t>n</w:t>
      </w:r>
      <w:r w:rsidRPr="001F1854">
        <w:t xml:space="preserve"> </w:t>
      </w:r>
      <w:hyperlink r:id="rId52" w:history="1">
        <w:r w:rsidR="00D209C5" w:rsidRPr="009400D2">
          <w:rPr>
            <w:rStyle w:val="Hyperlink"/>
            <w:b/>
          </w:rPr>
          <w:t>Identifying Facilitators and Barriers to Sustaining Gains in Enhanced Recovery</w:t>
        </w:r>
      </w:hyperlink>
      <w:r w:rsidR="00D209C5" w:rsidRPr="00D149DF">
        <w:rPr>
          <w:b/>
        </w:rPr>
        <w:t xml:space="preserve"> </w:t>
      </w:r>
      <w:r w:rsidR="00D209C5" w:rsidRPr="00D149DF">
        <w:t>tool with</w:t>
      </w:r>
      <w:r w:rsidRPr="00F2253B">
        <w:rPr>
          <w:b/>
        </w:rPr>
        <w:t xml:space="preserve"> </w:t>
      </w:r>
      <w:r w:rsidRPr="00F2253B">
        <w:t xml:space="preserve">references to </w:t>
      </w:r>
      <w:r w:rsidR="00D209C5">
        <w:t xml:space="preserve">publications and </w:t>
      </w:r>
      <w:r w:rsidRPr="00F2253B">
        <w:t xml:space="preserve">other AHRQ sustainability tools that hospitals can </w:t>
      </w:r>
      <w:r w:rsidR="00D209C5">
        <w:t xml:space="preserve">use to plan for the long-term sustainment of </w:t>
      </w:r>
      <w:r w:rsidRPr="00F2253B">
        <w:t xml:space="preserve"> their </w:t>
      </w:r>
      <w:r w:rsidR="00D209C5">
        <w:t>ISCR</w:t>
      </w:r>
      <w:r w:rsidRPr="00F2253B">
        <w:t xml:space="preserve"> program.</w:t>
      </w:r>
    </w:p>
    <w:p w14:paraId="523E0220" w14:textId="0CAF5CD8" w:rsidR="00B642BB" w:rsidRPr="00B642BB" w:rsidRDefault="00B642BB" w:rsidP="00653EEA">
      <w:pPr>
        <w:pStyle w:val="Bullet1"/>
        <w:rPr>
          <w:b/>
        </w:rPr>
      </w:pPr>
      <w:r>
        <w:t>The</w:t>
      </w:r>
      <w:r w:rsidRPr="00B642BB">
        <w:t xml:space="preserve"> </w:t>
      </w:r>
      <w:hyperlink r:id="rId53" w:history="1">
        <w:r w:rsidRPr="00515CDB">
          <w:rPr>
            <w:rStyle w:val="Hyperlink"/>
            <w:b/>
          </w:rPr>
          <w:t xml:space="preserve">Gap Analysis and Goal Setting </w:t>
        </w:r>
        <w:r w:rsidR="005F1918" w:rsidRPr="00515CDB">
          <w:rPr>
            <w:rStyle w:val="Hyperlink"/>
            <w:b/>
          </w:rPr>
          <w:t>F</w:t>
        </w:r>
        <w:r w:rsidRPr="00515CDB">
          <w:rPr>
            <w:rStyle w:val="Hyperlink"/>
            <w:b/>
          </w:rPr>
          <w:t>orm</w:t>
        </w:r>
      </w:hyperlink>
      <w:r>
        <w:t xml:space="preserve"> will help you identify the next</w:t>
      </w:r>
      <w:r w:rsidRPr="00B642BB">
        <w:t xml:space="preserve"> area</w:t>
      </w:r>
      <w:r>
        <w:t xml:space="preserve"> that needs </w:t>
      </w:r>
      <w:r w:rsidRPr="00B642BB">
        <w:t>improvement.</w:t>
      </w:r>
    </w:p>
    <w:p w14:paraId="07877313" w14:textId="3AD29F92" w:rsidR="00945F22" w:rsidRDefault="000C32B7" w:rsidP="000C32B7">
      <w:pPr>
        <w:pStyle w:val="BodyText1"/>
        <w:spacing w:before="3000" w:after="0" w:line="240" w:lineRule="auto"/>
        <w:jc w:val="right"/>
      </w:pPr>
      <w:r>
        <w:t>AHRQ Pub. No. 23-0052</w:t>
      </w:r>
    </w:p>
    <w:p w14:paraId="3A4E5A8E" w14:textId="44180C97" w:rsidR="00945F22" w:rsidRDefault="000C32B7" w:rsidP="000C32B7">
      <w:pPr>
        <w:pStyle w:val="BodyText1"/>
        <w:spacing w:after="0" w:line="240" w:lineRule="auto"/>
        <w:jc w:val="right"/>
      </w:pPr>
      <w:r>
        <w:t>June 2023</w:t>
      </w:r>
    </w:p>
    <w:sectPr w:rsidR="00945F22" w:rsidSect="00D149DF">
      <w:footerReference w:type="default" r:id="rId54"/>
      <w:footerReference w:type="first" r:id="rId55"/>
      <w:pgSz w:w="12240" w:h="15840" w:code="1"/>
      <w:pgMar w:top="1440" w:right="1440" w:bottom="144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4399" w14:textId="77777777" w:rsidR="00680E6A" w:rsidRDefault="00680E6A" w:rsidP="00923233">
      <w:pPr>
        <w:spacing w:after="0" w:line="240" w:lineRule="auto"/>
      </w:pPr>
      <w:r>
        <w:separator/>
      </w:r>
    </w:p>
  </w:endnote>
  <w:endnote w:type="continuationSeparator" w:id="0">
    <w:p w14:paraId="693F5F01" w14:textId="77777777" w:rsidR="00680E6A" w:rsidRDefault="00680E6A" w:rsidP="00923233">
      <w:pPr>
        <w:spacing w:after="0" w:line="240" w:lineRule="auto"/>
      </w:pPr>
      <w:r>
        <w:continuationSeparator/>
      </w:r>
    </w:p>
  </w:endnote>
  <w:endnote w:type="continuationNotice" w:id="1">
    <w:p w14:paraId="2D9498D0" w14:textId="77777777" w:rsidR="00680E6A" w:rsidRDefault="00680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96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DA5E1" w14:textId="58808AEC" w:rsidR="004C039E" w:rsidRDefault="004C03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7EC778" w14:textId="0DE1E793" w:rsidR="00035228" w:rsidRDefault="00035228" w:rsidP="00035228">
    <w:pPr>
      <w:pStyle w:val="Footer"/>
      <w:tabs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1840" w14:textId="3E6C85A1" w:rsidR="00035228" w:rsidRDefault="004C039E" w:rsidP="00D14DBF">
    <w:pPr>
      <w:pStyle w:val="Footer"/>
      <w:tabs>
        <w:tab w:val="clear" w:pos="4680"/>
        <w:tab w:val="clear" w:pos="9360"/>
        <w:tab w:val="left" w:pos="945"/>
        <w:tab w:val="left" w:pos="8518"/>
      </w:tabs>
    </w:pPr>
    <w:r>
      <w:tab/>
    </w:r>
    <w:r w:rsidR="00D14DBF">
      <w:tab/>
    </w:r>
    <w:r w:rsidR="00215240">
      <w:rPr>
        <w:noProof/>
      </w:rPr>
      <w:drawing>
        <wp:anchor distT="0" distB="0" distL="114300" distR="114300" simplePos="0" relativeHeight="251658241" behindDoc="1" locked="0" layoutInCell="1" allowOverlap="1" wp14:anchorId="5E586D5B" wp14:editId="70FC5E9D">
          <wp:simplePos x="914400" y="8743950"/>
          <wp:positionH relativeFrom="page">
            <wp:align>center</wp:align>
          </wp:positionH>
          <wp:positionV relativeFrom="page">
            <wp:align>bottom</wp:align>
          </wp:positionV>
          <wp:extent cx="7772400" cy="822893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2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DC2A" w14:textId="100B8923" w:rsidR="00215240" w:rsidRPr="00F97B26" w:rsidRDefault="00BB05BD" w:rsidP="00035228">
    <w:pPr>
      <w:pStyle w:val="Footer"/>
      <w:tabs>
        <w:tab w:val="clear" w:pos="9360"/>
      </w:tabs>
      <w:rPr>
        <w:sz w:val="20"/>
        <w:szCs w:val="20"/>
      </w:rPr>
    </w:pPr>
    <w:r w:rsidRPr="00F97B2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3EC77D5" wp14:editId="2CDAFA32">
              <wp:simplePos x="0" y="0"/>
              <wp:positionH relativeFrom="margin">
                <wp:posOffset>7667625</wp:posOffset>
              </wp:positionH>
              <wp:positionV relativeFrom="paragraph">
                <wp:posOffset>97790</wp:posOffset>
              </wp:positionV>
              <wp:extent cx="1476375" cy="356870"/>
              <wp:effectExtent l="0" t="0" r="0" b="508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8E171" w14:textId="77777777" w:rsidR="00B21730" w:rsidRPr="006E5264" w:rsidRDefault="00B21730" w:rsidP="00F97B26">
                          <w:pPr>
                            <w:pStyle w:val="Footer"/>
                            <w:jc w:val="right"/>
                          </w:pPr>
                          <w:r>
                            <w:t xml:space="preserve">Overview Guide   </w:t>
                          </w:r>
                          <w:r w:rsidRPr="009554BC">
                            <w:fldChar w:fldCharType="begin"/>
                          </w:r>
                          <w:r w:rsidRPr="009554BC">
                            <w:instrText xml:space="preserve"> PAGE   \* MERGEFORMAT </w:instrText>
                          </w:r>
                          <w:r w:rsidRPr="009554BC">
                            <w:fldChar w:fldCharType="separate"/>
                          </w:r>
                          <w:r>
                            <w:t>2</w:t>
                          </w:r>
                          <w:r w:rsidRPr="009554BC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1D55E87" w14:textId="5785AFDF" w:rsidR="00BB05BD" w:rsidRPr="006E5264" w:rsidRDefault="00BB05BD" w:rsidP="00BB05BD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C77D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603.75pt;margin-top:7.7pt;width:116.25pt;height:28.1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" filled="f" stroked="f" strokeweight=".5pt">
              <v:textbox>
                <w:txbxContent>
                  <w:p w14:paraId="3EB8E171" w14:textId="77777777" w:rsidR="00B21730" w:rsidRPr="006E5264" w:rsidRDefault="00B21730" w:rsidP="00F97B26">
                    <w:pPr>
                      <w:pStyle w:val="Footer"/>
                      <w:jc w:val="right"/>
                    </w:pPr>
                    <w:r>
                      <w:t xml:space="preserve">Overview Guide   </w:t>
                    </w:r>
                    <w:r w:rsidRPr="009554BC">
                      <w:fldChar w:fldCharType="begin"/>
                    </w:r>
                    <w:r w:rsidRPr="009554BC">
                      <w:instrText xml:space="preserve"> PAGE   \* MERGEFORMAT </w:instrText>
                    </w:r>
                    <w:r w:rsidRPr="009554BC">
                      <w:fldChar w:fldCharType="separate"/>
                    </w:r>
                    <w:r>
                      <w:t>2</w:t>
                    </w:r>
                    <w:r w:rsidRPr="009554BC">
                      <w:rPr>
                        <w:noProof/>
                      </w:rPr>
                      <w:fldChar w:fldCharType="end"/>
                    </w:r>
                  </w:p>
                  <w:p w14:paraId="61D55E87" w14:textId="5785AFDF" w:rsidR="00BB05BD" w:rsidRPr="006E5264" w:rsidRDefault="00BB05BD" w:rsidP="00BB05BD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97B26">
      <w:rPr>
        <w:noProof/>
        <w:sz w:val="20"/>
        <w:szCs w:val="20"/>
      </w:rPr>
      <w:drawing>
        <wp:anchor distT="0" distB="0" distL="114300" distR="114300" simplePos="0" relativeHeight="251658246" behindDoc="1" locked="0" layoutInCell="1" allowOverlap="1" wp14:anchorId="342B386E" wp14:editId="459CEECB">
          <wp:simplePos x="0" y="0"/>
          <wp:positionH relativeFrom="page">
            <wp:posOffset>7296912</wp:posOffset>
          </wp:positionH>
          <wp:positionV relativeFrom="page">
            <wp:posOffset>7022465</wp:posOffset>
          </wp:positionV>
          <wp:extent cx="2761488" cy="740664"/>
          <wp:effectExtent l="0" t="0" r="1270" b="254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488" cy="740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B26" w:rsidRPr="00F97B26">
      <w:rPr>
        <w:sz w:val="20"/>
        <w:szCs w:val="20"/>
      </w:rPr>
      <w:t xml:space="preserve">AHRQ Safety Program for Improving Surgical Care and Recovery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35237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E09F6" w14:textId="728D07D9" w:rsidR="00E95D06" w:rsidRPr="008B0ACB" w:rsidRDefault="009554BC" w:rsidP="00D149DF">
        <w:pPr>
          <w:pStyle w:val="Footer"/>
          <w:rPr>
            <w:sz w:val="20"/>
            <w:szCs w:val="20"/>
          </w:rPr>
        </w:pPr>
        <w:r w:rsidRPr="008B0ACB">
          <w:rPr>
            <w:noProof/>
            <w:sz w:val="20"/>
            <w:szCs w:val="20"/>
          </w:rPr>
          <w:drawing>
            <wp:anchor distT="0" distB="0" distL="114300" distR="114300" simplePos="0" relativeHeight="251658243" behindDoc="1" locked="0" layoutInCell="1" allowOverlap="1" wp14:anchorId="7C554C26" wp14:editId="6B897A0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761488" cy="740664"/>
              <wp:effectExtent l="0" t="0" r="1270" b="2540"/>
              <wp:wrapNone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" name="Picture 9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1488" cy="74066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97B26">
          <w:rPr>
            <w:sz w:val="20"/>
            <w:szCs w:val="20"/>
          </w:rPr>
          <w:t>AH</w:t>
        </w:r>
        <w:r w:rsidR="008B0ACB" w:rsidRPr="008B0ACB">
          <w:rPr>
            <w:sz w:val="20"/>
            <w:szCs w:val="20"/>
          </w:rPr>
          <w:t>RQ Safety Program for Improving Surgical Care and Recovery</w:t>
        </w:r>
      </w:p>
    </w:sdtContent>
  </w:sdt>
  <w:p w14:paraId="46F63EB5" w14:textId="17DB16F3" w:rsidR="004C039E" w:rsidRDefault="00F97B26" w:rsidP="004C039E">
    <w:pPr>
      <w:pStyle w:val="Footer"/>
      <w:tabs>
        <w:tab w:val="clear" w:pos="4680"/>
        <w:tab w:val="clear" w:pos="9360"/>
        <w:tab w:val="left" w:pos="8518"/>
      </w:tabs>
    </w:pPr>
    <w:r w:rsidRPr="008B0AC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123AB9E" wp14:editId="1277A523">
              <wp:simplePos x="0" y="0"/>
              <wp:positionH relativeFrom="margin">
                <wp:posOffset>7677150</wp:posOffset>
              </wp:positionH>
              <wp:positionV relativeFrom="paragraph">
                <wp:posOffset>70485</wp:posOffset>
              </wp:positionV>
              <wp:extent cx="1476907" cy="366395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907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26EA68" w14:textId="7CD5CE9F" w:rsidR="00DD2F95" w:rsidRPr="008B0ACB" w:rsidRDefault="00B21730" w:rsidP="00DD2F95">
                          <w:pPr>
                            <w:jc w:val="right"/>
                            <w:rPr>
                              <w:color w:val="000000" w:themeColor="text1"/>
                              <w:sz w:val="20"/>
                              <w:szCs w:val="18"/>
                            </w:rPr>
                          </w:pPr>
                          <w:r w:rsidRPr="008B0ACB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>Overview Guide</w:t>
                          </w:r>
                          <w:r w:rsidR="009554BC" w:rsidRPr="008B0ACB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t xml:space="preserve">   </w:t>
                          </w:r>
                          <w:r w:rsidR="009554BC" w:rsidRPr="008B0ACB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fldChar w:fldCharType="begin"/>
                          </w:r>
                          <w:r w:rsidR="009554BC" w:rsidRPr="008B0ACB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instrText xml:space="preserve"> PAGE   \* MERGEFORMAT </w:instrText>
                          </w:r>
                          <w:r w:rsidR="009554BC" w:rsidRPr="008B0ACB">
                            <w:rPr>
                              <w:color w:val="000000" w:themeColor="text1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9554BC" w:rsidRPr="008B0ACB">
                            <w:rPr>
                              <w:noProof/>
                              <w:color w:val="000000" w:themeColor="text1"/>
                              <w:sz w:val="20"/>
                              <w:szCs w:val="18"/>
                            </w:rPr>
                            <w:t>1</w:t>
                          </w:r>
                          <w:r w:rsidR="009554BC" w:rsidRPr="008B0ACB">
                            <w:rPr>
                              <w:noProof/>
                              <w:color w:val="000000" w:themeColor="text1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3AB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04.5pt;margin-top:5.55pt;width:116.3pt;height:28.8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" filled="f" stroked="f" strokeweight=".5pt">
              <v:textbox>
                <w:txbxContent>
                  <w:p w14:paraId="3326EA68" w14:textId="7CD5CE9F" w:rsidR="00DD2F95" w:rsidRPr="008B0ACB" w:rsidRDefault="00B21730" w:rsidP="00DD2F95">
                    <w:pPr>
                      <w:jc w:val="right"/>
                      <w:rPr>
                        <w:color w:val="000000" w:themeColor="text1"/>
                        <w:sz w:val="20"/>
                        <w:szCs w:val="18"/>
                      </w:rPr>
                    </w:pPr>
                    <w:r w:rsidRPr="008B0ACB">
                      <w:rPr>
                        <w:color w:val="000000" w:themeColor="text1"/>
                        <w:sz w:val="20"/>
                        <w:szCs w:val="18"/>
                      </w:rPr>
                      <w:t>Overview Guide</w:t>
                    </w:r>
                    <w:r w:rsidR="009554BC" w:rsidRPr="008B0ACB">
                      <w:rPr>
                        <w:color w:val="000000" w:themeColor="text1"/>
                        <w:sz w:val="20"/>
                        <w:szCs w:val="18"/>
                      </w:rPr>
                      <w:t xml:space="preserve">   </w:t>
                    </w:r>
                    <w:r w:rsidR="009554BC" w:rsidRPr="008B0ACB">
                      <w:rPr>
                        <w:color w:val="000000" w:themeColor="text1"/>
                        <w:sz w:val="20"/>
                        <w:szCs w:val="18"/>
                      </w:rPr>
                      <w:fldChar w:fldCharType="begin"/>
                    </w:r>
                    <w:r w:rsidR="009554BC" w:rsidRPr="008B0ACB">
                      <w:rPr>
                        <w:color w:val="000000" w:themeColor="text1"/>
                        <w:sz w:val="20"/>
                        <w:szCs w:val="18"/>
                      </w:rPr>
                      <w:instrText xml:space="preserve"> PAGE   \* MERGEFORMAT </w:instrText>
                    </w:r>
                    <w:r w:rsidR="009554BC" w:rsidRPr="008B0ACB">
                      <w:rPr>
                        <w:color w:val="000000" w:themeColor="text1"/>
                        <w:sz w:val="20"/>
                        <w:szCs w:val="18"/>
                      </w:rPr>
                      <w:fldChar w:fldCharType="separate"/>
                    </w:r>
                    <w:r w:rsidR="009554BC" w:rsidRPr="008B0ACB">
                      <w:rPr>
                        <w:noProof/>
                        <w:color w:val="000000" w:themeColor="text1"/>
                        <w:sz w:val="20"/>
                        <w:szCs w:val="18"/>
                      </w:rPr>
                      <w:t>1</w:t>
                    </w:r>
                    <w:r w:rsidR="009554BC" w:rsidRPr="008B0ACB">
                      <w:rPr>
                        <w:noProof/>
                        <w:color w:val="000000" w:themeColor="text1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016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2F784" w14:textId="28E56F12" w:rsidR="00E95D06" w:rsidRDefault="00BB05BD" w:rsidP="00D149DF">
        <w:pPr>
          <w:pStyle w:val="Footer"/>
          <w:jc w:val="center"/>
        </w:pPr>
        <w:r w:rsidRPr="00BB05BD">
          <w:rPr>
            <w:noProof/>
          </w:rPr>
          <w:drawing>
            <wp:anchor distT="0" distB="0" distL="114300" distR="114300" simplePos="0" relativeHeight="251658248" behindDoc="1" locked="0" layoutInCell="1" allowOverlap="1" wp14:anchorId="15160AB1" wp14:editId="1DAB9305">
              <wp:simplePos x="0" y="0"/>
              <wp:positionH relativeFrom="page">
                <wp:posOffset>4998720</wp:posOffset>
              </wp:positionH>
              <wp:positionV relativeFrom="page">
                <wp:posOffset>9302115</wp:posOffset>
              </wp:positionV>
              <wp:extent cx="2760980" cy="740410"/>
              <wp:effectExtent l="0" t="0" r="1270" b="2540"/>
              <wp:wrapNone/>
              <wp:docPr id="10" name="Pictur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60980" cy="740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35E6A35" w14:textId="620FE793" w:rsidR="00E95D06" w:rsidRPr="00F97B26" w:rsidRDefault="00F97B26" w:rsidP="00035228">
    <w:pPr>
      <w:pStyle w:val="Footer"/>
      <w:tabs>
        <w:tab w:val="clear" w:pos="9360"/>
      </w:tabs>
      <w:rPr>
        <w:sz w:val="20"/>
        <w:szCs w:val="20"/>
      </w:rPr>
    </w:pPr>
    <w:r w:rsidRPr="00F97B2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48D5319" wp14:editId="17AC6D18">
              <wp:simplePos x="0" y="0"/>
              <wp:positionH relativeFrom="margin">
                <wp:posOffset>5372100</wp:posOffset>
              </wp:positionH>
              <wp:positionV relativeFrom="paragraph">
                <wp:posOffset>88265</wp:posOffset>
              </wp:positionV>
              <wp:extent cx="1476907" cy="356870"/>
              <wp:effectExtent l="0" t="0" r="0" b="508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907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9D336" w14:textId="77777777" w:rsidR="00B21730" w:rsidRPr="006E5264" w:rsidRDefault="00B21730" w:rsidP="00B21730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Overview Guide   </w:t>
                          </w:r>
                          <w:r w:rsidRPr="009554B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54B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54B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9554BC">
                            <w:rPr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882B1FF" w14:textId="1114F363" w:rsidR="00BB05BD" w:rsidRPr="006E5264" w:rsidRDefault="00BB05BD" w:rsidP="00BB05BD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D53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23pt;margin-top:6.95pt;width:116.3pt;height:28.1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" filled="f" stroked="f" strokeweight=".5pt">
              <v:textbox>
                <w:txbxContent>
                  <w:p w14:paraId="6BC9D336" w14:textId="77777777" w:rsidR="00B21730" w:rsidRPr="006E5264" w:rsidRDefault="00B21730" w:rsidP="00B21730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Overview Guide   </w:t>
                    </w:r>
                    <w:r w:rsidRPr="009554BC">
                      <w:rPr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9554BC">
                      <w:rPr>
                        <w:color w:val="000000" w:themeColor="text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54BC">
                      <w:rPr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9554BC">
                      <w:rPr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1882B1FF" w14:textId="1114F363" w:rsidR="00BB05BD" w:rsidRPr="006E5264" w:rsidRDefault="00BB05BD" w:rsidP="00BB05BD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97B26">
      <w:rPr>
        <w:sz w:val="20"/>
        <w:szCs w:val="20"/>
      </w:rPr>
      <w:t xml:space="preserve">AHRQ Safety Program for Improving Surgical Care and Recovery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051E" w14:textId="77777777" w:rsidR="00F12747" w:rsidRDefault="00F12747" w:rsidP="004C039E">
    <w:pPr>
      <w:pStyle w:val="Footer"/>
      <w:tabs>
        <w:tab w:val="clear" w:pos="4680"/>
        <w:tab w:val="clear" w:pos="9360"/>
        <w:tab w:val="left" w:pos="851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BCF3" w14:textId="77777777" w:rsidR="00680E6A" w:rsidRDefault="00680E6A" w:rsidP="00923233">
      <w:pPr>
        <w:spacing w:after="0" w:line="240" w:lineRule="auto"/>
      </w:pPr>
      <w:r>
        <w:separator/>
      </w:r>
    </w:p>
  </w:footnote>
  <w:footnote w:type="continuationSeparator" w:id="0">
    <w:p w14:paraId="01B804FD" w14:textId="77777777" w:rsidR="00680E6A" w:rsidRDefault="00680E6A" w:rsidP="00923233">
      <w:pPr>
        <w:spacing w:after="0" w:line="240" w:lineRule="auto"/>
      </w:pPr>
      <w:r>
        <w:continuationSeparator/>
      </w:r>
    </w:p>
  </w:footnote>
  <w:footnote w:type="continuationNotice" w:id="1">
    <w:p w14:paraId="2F2AC0ED" w14:textId="77777777" w:rsidR="00680E6A" w:rsidRDefault="00680E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98B4" w14:textId="469CC9D9" w:rsidR="00C42C5F" w:rsidRDefault="00677807">
    <w:pPr>
      <w:pStyle w:val="Header"/>
    </w:pPr>
    <w:r w:rsidRPr="00677807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97" behindDoc="0" locked="0" layoutInCell="1" allowOverlap="1" wp14:anchorId="07F87283" wp14:editId="614DB58C">
              <wp:simplePos x="0" y="0"/>
              <wp:positionH relativeFrom="margin">
                <wp:posOffset>-914400</wp:posOffset>
              </wp:positionH>
              <wp:positionV relativeFrom="paragraph">
                <wp:posOffset>-457200</wp:posOffset>
              </wp:positionV>
              <wp:extent cx="7772400" cy="992038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920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1FC8E2" w14:textId="77777777" w:rsidR="00677807" w:rsidRDefault="00677807" w:rsidP="00677807">
                          <w:pPr>
                            <w:pStyle w:val="Headertitle"/>
                          </w:pPr>
                          <w:r w:rsidRPr="008B0ACB">
                            <w:t xml:space="preserve">AHRQ Safety Program for Improving </w:t>
                          </w:r>
                        </w:p>
                        <w:p w14:paraId="486A6DBA" w14:textId="77777777" w:rsidR="00677807" w:rsidRPr="008B0ACB" w:rsidRDefault="00677807" w:rsidP="00677807">
                          <w:pPr>
                            <w:pStyle w:val="Headertitle"/>
                          </w:pPr>
                          <w:r w:rsidRPr="008B0ACB">
                            <w:t>Surg</w:t>
                          </w:r>
                          <w:r>
                            <w:t>i</w:t>
                          </w:r>
                          <w:r w:rsidRPr="008B0ACB">
                            <w:t>cal Care and Recovery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872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in;margin-top:-36pt;width:612pt;height:78.1pt;z-index:251660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" filled="f" stroked="f" strokeweight=".5pt">
              <v:textbox>
                <w:txbxContent>
                  <w:p w14:paraId="721FC8E2" w14:textId="77777777" w:rsidR="00677807" w:rsidRDefault="00677807" w:rsidP="00677807">
                    <w:pPr>
                      <w:pStyle w:val="Headertitle"/>
                    </w:pPr>
                    <w:r w:rsidRPr="008B0ACB">
                      <w:t xml:space="preserve">AHRQ Safety Program for Improving </w:t>
                    </w:r>
                  </w:p>
                  <w:p w14:paraId="486A6DBA" w14:textId="77777777" w:rsidR="00677807" w:rsidRPr="008B0ACB" w:rsidRDefault="00677807" w:rsidP="00677807">
                    <w:pPr>
                      <w:pStyle w:val="Headertitle"/>
                    </w:pPr>
                    <w:r w:rsidRPr="008B0ACB">
                      <w:t>Surg</w:t>
                    </w:r>
                    <w:r>
                      <w:t>i</w:t>
                    </w:r>
                    <w:r w:rsidRPr="008B0ACB">
                      <w:t>cal Care and Recovery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2FFA" w:rsidRPr="00622680">
      <w:rPr>
        <w:noProof/>
      </w:rPr>
      <w:drawing>
        <wp:anchor distT="0" distB="0" distL="114300" distR="114300" simplePos="0" relativeHeight="251658244" behindDoc="1" locked="0" layoutInCell="1" allowOverlap="1" wp14:anchorId="41908BD1" wp14:editId="4E1C1F73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772400" cy="10058400"/>
          <wp:effectExtent l="0" t="0" r="0" b="0"/>
          <wp:wrapNone/>
          <wp:docPr id="189" name="Picture 1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" name="Picture 18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0DC0" w14:textId="43CF465D" w:rsidR="004C039E" w:rsidRDefault="004C0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7891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E8E7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280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E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7AD9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A4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5EE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661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F4E4A"/>
    <w:multiLevelType w:val="hybridMultilevel"/>
    <w:tmpl w:val="4502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A64EC"/>
    <w:multiLevelType w:val="hybridMultilevel"/>
    <w:tmpl w:val="ED66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171E4"/>
    <w:multiLevelType w:val="hybridMultilevel"/>
    <w:tmpl w:val="31F8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33D65"/>
    <w:multiLevelType w:val="hybridMultilevel"/>
    <w:tmpl w:val="C3FAF016"/>
    <w:lvl w:ilvl="0" w:tplc="2BB65C2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604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E84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7586">
      <w:start w:val="1"/>
      <w:numFmt w:val="bullet"/>
      <w:pStyle w:val="Bullet4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D4BF3"/>
    <w:multiLevelType w:val="hybridMultilevel"/>
    <w:tmpl w:val="D714CDEA"/>
    <w:lvl w:ilvl="0" w:tplc="74541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85D00"/>
    <w:multiLevelType w:val="hybridMultilevel"/>
    <w:tmpl w:val="95EE7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024A0"/>
    <w:multiLevelType w:val="hybridMultilevel"/>
    <w:tmpl w:val="8EBA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73A3"/>
    <w:multiLevelType w:val="hybridMultilevel"/>
    <w:tmpl w:val="F0D4907E"/>
    <w:lvl w:ilvl="0" w:tplc="FDEE436E">
      <w:start w:val="1"/>
      <w:numFmt w:val="bullet"/>
      <w:lvlText w:val=""/>
      <w:lvlJc w:val="left"/>
      <w:pPr>
        <w:ind w:left="720" w:hanging="360"/>
      </w:pPr>
      <w:rPr>
        <w:rFonts w:ascii="Wingdings 2" w:hAnsi="Wingdings 2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13738">
    <w:abstractNumId w:val="14"/>
  </w:num>
  <w:num w:numId="2" w16cid:durableId="1627394986">
    <w:abstractNumId w:val="10"/>
  </w:num>
  <w:num w:numId="3" w16cid:durableId="2064599783">
    <w:abstractNumId w:val="11"/>
  </w:num>
  <w:num w:numId="4" w16cid:durableId="1125200472">
    <w:abstractNumId w:val="12"/>
  </w:num>
  <w:num w:numId="5" w16cid:durableId="301617931">
    <w:abstractNumId w:val="16"/>
  </w:num>
  <w:num w:numId="6" w16cid:durableId="1781219673">
    <w:abstractNumId w:val="15"/>
  </w:num>
  <w:num w:numId="7" w16cid:durableId="2100787230">
    <w:abstractNumId w:val="13"/>
  </w:num>
  <w:num w:numId="8" w16cid:durableId="1930649260">
    <w:abstractNumId w:val="17"/>
  </w:num>
  <w:num w:numId="9" w16cid:durableId="415828834">
    <w:abstractNumId w:val="0"/>
  </w:num>
  <w:num w:numId="10" w16cid:durableId="1183474643">
    <w:abstractNumId w:val="1"/>
  </w:num>
  <w:num w:numId="11" w16cid:durableId="1129476048">
    <w:abstractNumId w:val="2"/>
  </w:num>
  <w:num w:numId="12" w16cid:durableId="1096905701">
    <w:abstractNumId w:val="3"/>
  </w:num>
  <w:num w:numId="13" w16cid:durableId="1330788112">
    <w:abstractNumId w:val="8"/>
  </w:num>
  <w:num w:numId="14" w16cid:durableId="1004740885">
    <w:abstractNumId w:val="4"/>
  </w:num>
  <w:num w:numId="15" w16cid:durableId="48766848">
    <w:abstractNumId w:val="5"/>
  </w:num>
  <w:num w:numId="16" w16cid:durableId="1685353546">
    <w:abstractNumId w:val="6"/>
  </w:num>
  <w:num w:numId="17" w16cid:durableId="1443380949">
    <w:abstractNumId w:val="7"/>
  </w:num>
  <w:num w:numId="18" w16cid:durableId="2132935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06"/>
    <w:rsid w:val="00030262"/>
    <w:rsid w:val="00035228"/>
    <w:rsid w:val="00041B38"/>
    <w:rsid w:val="00045AB8"/>
    <w:rsid w:val="00060C2E"/>
    <w:rsid w:val="00074DD7"/>
    <w:rsid w:val="0008264B"/>
    <w:rsid w:val="00087801"/>
    <w:rsid w:val="00093FBF"/>
    <w:rsid w:val="00097D80"/>
    <w:rsid w:val="000B5335"/>
    <w:rsid w:val="000C32B7"/>
    <w:rsid w:val="000F5535"/>
    <w:rsid w:val="00105B33"/>
    <w:rsid w:val="00117547"/>
    <w:rsid w:val="0012048E"/>
    <w:rsid w:val="001327E2"/>
    <w:rsid w:val="00147AC7"/>
    <w:rsid w:val="00171021"/>
    <w:rsid w:val="00183E47"/>
    <w:rsid w:val="0019139B"/>
    <w:rsid w:val="001B4A5E"/>
    <w:rsid w:val="001C4782"/>
    <w:rsid w:val="001E22F2"/>
    <w:rsid w:val="001F1854"/>
    <w:rsid w:val="00215240"/>
    <w:rsid w:val="00232896"/>
    <w:rsid w:val="00234D15"/>
    <w:rsid w:val="00244F65"/>
    <w:rsid w:val="00251BAA"/>
    <w:rsid w:val="002658E7"/>
    <w:rsid w:val="002667A5"/>
    <w:rsid w:val="0028670C"/>
    <w:rsid w:val="00292AB9"/>
    <w:rsid w:val="002964A1"/>
    <w:rsid w:val="002B0724"/>
    <w:rsid w:val="002D091B"/>
    <w:rsid w:val="002E40C4"/>
    <w:rsid w:val="00344F5F"/>
    <w:rsid w:val="00346AF5"/>
    <w:rsid w:val="003516F9"/>
    <w:rsid w:val="00353D44"/>
    <w:rsid w:val="00363568"/>
    <w:rsid w:val="00363FFA"/>
    <w:rsid w:val="003C6EC6"/>
    <w:rsid w:val="003E0CC3"/>
    <w:rsid w:val="003E3AD1"/>
    <w:rsid w:val="00405B53"/>
    <w:rsid w:val="004133DF"/>
    <w:rsid w:val="004651FF"/>
    <w:rsid w:val="0047106C"/>
    <w:rsid w:val="004724DA"/>
    <w:rsid w:val="00491A78"/>
    <w:rsid w:val="004A145E"/>
    <w:rsid w:val="004B2B7C"/>
    <w:rsid w:val="004C039E"/>
    <w:rsid w:val="004C2A4D"/>
    <w:rsid w:val="004C3125"/>
    <w:rsid w:val="004E2A79"/>
    <w:rsid w:val="004E42EE"/>
    <w:rsid w:val="004F3891"/>
    <w:rsid w:val="00500C8F"/>
    <w:rsid w:val="00504E16"/>
    <w:rsid w:val="00507D3E"/>
    <w:rsid w:val="00515CDB"/>
    <w:rsid w:val="0058461A"/>
    <w:rsid w:val="00596F96"/>
    <w:rsid w:val="005A64E6"/>
    <w:rsid w:val="005F08CA"/>
    <w:rsid w:val="005F1918"/>
    <w:rsid w:val="005F285D"/>
    <w:rsid w:val="006303B5"/>
    <w:rsid w:val="00640D99"/>
    <w:rsid w:val="00641EA5"/>
    <w:rsid w:val="00653120"/>
    <w:rsid w:val="00653EEA"/>
    <w:rsid w:val="00662309"/>
    <w:rsid w:val="0067685A"/>
    <w:rsid w:val="00677807"/>
    <w:rsid w:val="00680E6A"/>
    <w:rsid w:val="006B6DB1"/>
    <w:rsid w:val="006C00CE"/>
    <w:rsid w:val="006C3038"/>
    <w:rsid w:val="006C66EE"/>
    <w:rsid w:val="006D72D9"/>
    <w:rsid w:val="006E1A45"/>
    <w:rsid w:val="007205F2"/>
    <w:rsid w:val="00740D9A"/>
    <w:rsid w:val="007471BD"/>
    <w:rsid w:val="007530A1"/>
    <w:rsid w:val="00757576"/>
    <w:rsid w:val="00775E3D"/>
    <w:rsid w:val="0078103B"/>
    <w:rsid w:val="007927F1"/>
    <w:rsid w:val="007A5093"/>
    <w:rsid w:val="007C22DF"/>
    <w:rsid w:val="007C6E62"/>
    <w:rsid w:val="007E0960"/>
    <w:rsid w:val="007E3811"/>
    <w:rsid w:val="007E6387"/>
    <w:rsid w:val="007F2618"/>
    <w:rsid w:val="008109BD"/>
    <w:rsid w:val="00812FD5"/>
    <w:rsid w:val="008136BC"/>
    <w:rsid w:val="008362EF"/>
    <w:rsid w:val="008366D6"/>
    <w:rsid w:val="00853ECD"/>
    <w:rsid w:val="00884CCE"/>
    <w:rsid w:val="008958CE"/>
    <w:rsid w:val="008A0E51"/>
    <w:rsid w:val="008A41F4"/>
    <w:rsid w:val="008B0ACB"/>
    <w:rsid w:val="008D1F53"/>
    <w:rsid w:val="008E007C"/>
    <w:rsid w:val="008E2FFA"/>
    <w:rsid w:val="008E5ABB"/>
    <w:rsid w:val="008E65F5"/>
    <w:rsid w:val="008F56BE"/>
    <w:rsid w:val="00900E1B"/>
    <w:rsid w:val="00923233"/>
    <w:rsid w:val="009400D2"/>
    <w:rsid w:val="009431EE"/>
    <w:rsid w:val="00945F22"/>
    <w:rsid w:val="009540E1"/>
    <w:rsid w:val="009554BC"/>
    <w:rsid w:val="0096773F"/>
    <w:rsid w:val="00972493"/>
    <w:rsid w:val="00976ACA"/>
    <w:rsid w:val="00990C0D"/>
    <w:rsid w:val="009B7C29"/>
    <w:rsid w:val="009C02EE"/>
    <w:rsid w:val="009F66A0"/>
    <w:rsid w:val="00A00B6D"/>
    <w:rsid w:val="00A12893"/>
    <w:rsid w:val="00A15DCA"/>
    <w:rsid w:val="00A24DFD"/>
    <w:rsid w:val="00A57F3C"/>
    <w:rsid w:val="00A7059C"/>
    <w:rsid w:val="00A8477B"/>
    <w:rsid w:val="00AA17A1"/>
    <w:rsid w:val="00AA34A1"/>
    <w:rsid w:val="00AD092B"/>
    <w:rsid w:val="00AD0B06"/>
    <w:rsid w:val="00AF0731"/>
    <w:rsid w:val="00AF5673"/>
    <w:rsid w:val="00B16354"/>
    <w:rsid w:val="00B21730"/>
    <w:rsid w:val="00B22992"/>
    <w:rsid w:val="00B337A8"/>
    <w:rsid w:val="00B430EF"/>
    <w:rsid w:val="00B452FC"/>
    <w:rsid w:val="00B508D3"/>
    <w:rsid w:val="00B561E9"/>
    <w:rsid w:val="00B642BB"/>
    <w:rsid w:val="00B748A4"/>
    <w:rsid w:val="00BB05BD"/>
    <w:rsid w:val="00BD63A2"/>
    <w:rsid w:val="00BE73B6"/>
    <w:rsid w:val="00BF476F"/>
    <w:rsid w:val="00BF4A13"/>
    <w:rsid w:val="00C42C5F"/>
    <w:rsid w:val="00C56D8B"/>
    <w:rsid w:val="00C70CAC"/>
    <w:rsid w:val="00C71582"/>
    <w:rsid w:val="00C84A5A"/>
    <w:rsid w:val="00CC0AA0"/>
    <w:rsid w:val="00CC34A9"/>
    <w:rsid w:val="00CD2390"/>
    <w:rsid w:val="00CF4199"/>
    <w:rsid w:val="00D06ED3"/>
    <w:rsid w:val="00D149DF"/>
    <w:rsid w:val="00D14DBF"/>
    <w:rsid w:val="00D209C5"/>
    <w:rsid w:val="00D33470"/>
    <w:rsid w:val="00D455C4"/>
    <w:rsid w:val="00D622D6"/>
    <w:rsid w:val="00D74BBC"/>
    <w:rsid w:val="00D753DE"/>
    <w:rsid w:val="00D7645B"/>
    <w:rsid w:val="00DB1749"/>
    <w:rsid w:val="00DD2F95"/>
    <w:rsid w:val="00DF01DC"/>
    <w:rsid w:val="00E05E65"/>
    <w:rsid w:val="00E37426"/>
    <w:rsid w:val="00E46DEA"/>
    <w:rsid w:val="00E60257"/>
    <w:rsid w:val="00E60591"/>
    <w:rsid w:val="00E63EDC"/>
    <w:rsid w:val="00E932A4"/>
    <w:rsid w:val="00E95D06"/>
    <w:rsid w:val="00EA1A12"/>
    <w:rsid w:val="00EB4C08"/>
    <w:rsid w:val="00EC1347"/>
    <w:rsid w:val="00EC6DA0"/>
    <w:rsid w:val="00EC79DD"/>
    <w:rsid w:val="00EE39CA"/>
    <w:rsid w:val="00EE458B"/>
    <w:rsid w:val="00EF3211"/>
    <w:rsid w:val="00F11189"/>
    <w:rsid w:val="00F12747"/>
    <w:rsid w:val="00F14E1A"/>
    <w:rsid w:val="00F15B1D"/>
    <w:rsid w:val="00F16CB6"/>
    <w:rsid w:val="00F25BB7"/>
    <w:rsid w:val="00F47545"/>
    <w:rsid w:val="00F50F8E"/>
    <w:rsid w:val="00F75A90"/>
    <w:rsid w:val="00F953E7"/>
    <w:rsid w:val="00F96D0B"/>
    <w:rsid w:val="00F97B26"/>
    <w:rsid w:val="00FA407F"/>
    <w:rsid w:val="00FA4CA1"/>
    <w:rsid w:val="00FA4EF5"/>
    <w:rsid w:val="00FE24C3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0F7CF4"/>
  <w15:chartTrackingRefBased/>
  <w15:docId w15:val="{7CA4354F-D57C-4B0A-9EB2-3A2D7FDD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C56D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rsid w:val="00C56D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Section3Title"/>
    <w:link w:val="Heading2Char"/>
    <w:autoRedefine/>
    <w:qFormat/>
    <w:rsid w:val="00C56D8B"/>
    <w:pPr>
      <w:spacing w:after="0" w:line="240" w:lineRule="auto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D0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B06"/>
    <w:rPr>
      <w:sz w:val="20"/>
      <w:szCs w:val="20"/>
    </w:rPr>
  </w:style>
  <w:style w:type="paragraph" w:styleId="ListParagraph">
    <w:name w:val="List Paragraph"/>
    <w:basedOn w:val="Normal"/>
    <w:uiPriority w:val="34"/>
    <w:rsid w:val="00C56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D8B"/>
  </w:style>
  <w:style w:type="paragraph" w:styleId="Footer">
    <w:name w:val="footer"/>
    <w:basedOn w:val="Normal"/>
    <w:link w:val="FooterChar"/>
    <w:uiPriority w:val="99"/>
    <w:unhideWhenUsed/>
    <w:rsid w:val="00C56D8B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6D8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02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0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4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6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B38"/>
    <w:rPr>
      <w:color w:val="605E5C"/>
      <w:shd w:val="clear" w:color="auto" w:fill="E1DFDD"/>
    </w:rPr>
  </w:style>
  <w:style w:type="paragraph" w:customStyle="1" w:styleId="Headertitle">
    <w:name w:val="Header title"/>
    <w:autoRedefine/>
    <w:qFormat/>
    <w:rsid w:val="00C56D8B"/>
    <w:pPr>
      <w:spacing w:after="200" w:line="240" w:lineRule="auto"/>
      <w:contextualSpacing/>
      <w:jc w:val="center"/>
    </w:pPr>
    <w:rPr>
      <w:sz w:val="56"/>
      <w:szCs w:val="72"/>
    </w:rPr>
  </w:style>
  <w:style w:type="paragraph" w:customStyle="1" w:styleId="Redtextcallout">
    <w:name w:val="Red text callout"/>
    <w:basedOn w:val="BodyText1"/>
    <w:qFormat/>
    <w:rsid w:val="00C56D8B"/>
    <w:rPr>
      <w:color w:val="C00000"/>
    </w:rPr>
  </w:style>
  <w:style w:type="paragraph" w:customStyle="1" w:styleId="BodyText1">
    <w:name w:val="Body Text1"/>
    <w:qFormat/>
    <w:rsid w:val="00C56D8B"/>
    <w:pPr>
      <w:spacing w:after="200" w:line="276" w:lineRule="auto"/>
    </w:pPr>
  </w:style>
  <w:style w:type="paragraph" w:customStyle="1" w:styleId="Section1title">
    <w:name w:val="Section 1 title"/>
    <w:basedOn w:val="Normal"/>
    <w:qFormat/>
    <w:rsid w:val="00C56D8B"/>
    <w:rPr>
      <w:b/>
      <w:bCs/>
      <w:sz w:val="32"/>
      <w:szCs w:val="32"/>
    </w:rPr>
  </w:style>
  <w:style w:type="paragraph" w:customStyle="1" w:styleId="Section2Title">
    <w:name w:val="Section 2 Title"/>
    <w:qFormat/>
    <w:rsid w:val="00C56D8B"/>
    <w:pPr>
      <w:spacing w:after="200" w:line="276" w:lineRule="auto"/>
    </w:pPr>
    <w:rPr>
      <w:b/>
      <w:bCs/>
      <w:sz w:val="28"/>
      <w:szCs w:val="28"/>
    </w:rPr>
  </w:style>
  <w:style w:type="paragraph" w:customStyle="1" w:styleId="bullet2">
    <w:name w:val="bullet 2"/>
    <w:basedOn w:val="Bullet1"/>
    <w:qFormat/>
    <w:rsid w:val="00C56D8B"/>
    <w:pPr>
      <w:numPr>
        <w:ilvl w:val="1"/>
      </w:numPr>
    </w:pPr>
  </w:style>
  <w:style w:type="paragraph" w:customStyle="1" w:styleId="Bullet1">
    <w:name w:val="Bullet 1"/>
    <w:basedOn w:val="BodyText"/>
    <w:qFormat/>
    <w:rsid w:val="00C56D8B"/>
    <w:pPr>
      <w:numPr>
        <w:numId w:val="7"/>
      </w:numPr>
    </w:pPr>
  </w:style>
  <w:style w:type="paragraph" w:customStyle="1" w:styleId="Bullet3">
    <w:name w:val="Bullet 3"/>
    <w:basedOn w:val="Bullet1"/>
    <w:qFormat/>
    <w:rsid w:val="00C56D8B"/>
    <w:pPr>
      <w:numPr>
        <w:ilvl w:val="2"/>
      </w:numPr>
    </w:pPr>
  </w:style>
  <w:style w:type="paragraph" w:customStyle="1" w:styleId="Bullet4">
    <w:name w:val="Bullet 4"/>
    <w:basedOn w:val="Bullet1"/>
    <w:qFormat/>
    <w:rsid w:val="00C56D8B"/>
    <w:pPr>
      <w:numPr>
        <w:ilvl w:val="3"/>
      </w:numPr>
    </w:pPr>
  </w:style>
  <w:style w:type="paragraph" w:styleId="BodyText">
    <w:name w:val="Body Text"/>
    <w:basedOn w:val="Normal"/>
    <w:link w:val="BodyTextChar"/>
    <w:uiPriority w:val="99"/>
    <w:unhideWhenUsed/>
    <w:rsid w:val="00C56D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6D8B"/>
  </w:style>
  <w:style w:type="paragraph" w:styleId="Title">
    <w:name w:val="Title"/>
    <w:aliases w:val="Toolkit Title"/>
    <w:basedOn w:val="Normal"/>
    <w:link w:val="TitleChar"/>
    <w:autoRedefine/>
    <w:qFormat/>
    <w:rsid w:val="00C56D8B"/>
    <w:pPr>
      <w:keepNext/>
      <w:keepLines/>
      <w:pBdr>
        <w:bottom w:val="single" w:sz="4" w:space="1" w:color="5B9BD5"/>
      </w:pBdr>
      <w:spacing w:before="120" w:after="240" w:line="240" w:lineRule="auto"/>
      <w:contextualSpacing/>
      <w:outlineLvl w:val="0"/>
    </w:pPr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TitleChar">
    <w:name w:val="Title Char"/>
    <w:aliases w:val="Toolkit Title Char"/>
    <w:basedOn w:val="DefaultParagraphFont"/>
    <w:link w:val="Title"/>
    <w:rsid w:val="00C56D8B"/>
    <w:rPr>
      <w:rFonts w:ascii="Calibri" w:eastAsia="MS Gothic" w:hAnsi="Calibri" w:cstheme="majorBidi"/>
      <w:bCs/>
      <w:kern w:val="28"/>
      <w:sz w:val="4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5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6D8B"/>
    <w:rPr>
      <w:b/>
      <w:bCs/>
      <w:sz w:val="28"/>
      <w:szCs w:val="28"/>
    </w:rPr>
  </w:style>
  <w:style w:type="paragraph" w:customStyle="1" w:styleId="documentfootertitle">
    <w:name w:val="document footer title"/>
    <w:autoRedefine/>
    <w:qFormat/>
    <w:rsid w:val="00C56D8B"/>
    <w:pPr>
      <w:spacing w:after="0" w:line="240" w:lineRule="auto"/>
      <w:contextualSpacing/>
      <w:jc w:val="right"/>
    </w:pPr>
    <w:rPr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C56D8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56D8B"/>
  </w:style>
  <w:style w:type="paragraph" w:customStyle="1" w:styleId="Reference">
    <w:name w:val="Reference"/>
    <w:qFormat/>
    <w:rsid w:val="00C56D8B"/>
    <w:pPr>
      <w:spacing w:after="200" w:line="276" w:lineRule="auto"/>
    </w:pPr>
    <w:rPr>
      <w:i/>
      <w:iCs/>
      <w:sz w:val="20"/>
      <w:szCs w:val="20"/>
    </w:rPr>
  </w:style>
  <w:style w:type="paragraph" w:customStyle="1" w:styleId="Section3Title">
    <w:name w:val="Section 3 Title"/>
    <w:qFormat/>
    <w:rsid w:val="00C56D8B"/>
    <w:pPr>
      <w:spacing w:after="200" w:line="276" w:lineRule="auto"/>
    </w:pPr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C56D8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6D8B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uiPriority w:val="1"/>
    <w:qFormat/>
    <w:rsid w:val="00C56D8B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styleId="Emphasis">
    <w:name w:val="Emphasis"/>
    <w:basedOn w:val="DefaultParagraphFont"/>
    <w:uiPriority w:val="20"/>
    <w:rsid w:val="00C56D8B"/>
    <w:rPr>
      <w:i/>
      <w:iCs/>
    </w:rPr>
  </w:style>
  <w:style w:type="paragraph" w:customStyle="1" w:styleId="ToolkitDocumentTitle">
    <w:name w:val="Toolkit Document Title"/>
    <w:basedOn w:val="Title"/>
    <w:autoRedefine/>
    <w:qFormat/>
    <w:rsid w:val="00C56D8B"/>
    <w:pPr>
      <w:spacing w:before="240" w:after="120"/>
    </w:pPr>
    <w:rPr>
      <w:bCs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www.ahrq.gov/sites/default/files/wysiwyg/hai/tools/surgery/11-identifying-stakeholders.pptx" TargetMode="External"/><Relationship Id="rId39" Type="http://schemas.openxmlformats.org/officeDocument/2006/relationships/hyperlink" Target="https://www.ahrq.gov/sites/default/files/wysiwyg/hai/tools/surgery/48-prep-colorectal-facilitator.docx" TargetMode="External"/><Relationship Id="rId21" Type="http://schemas.openxmlformats.org/officeDocument/2006/relationships/image" Target="media/image5.JPG"/><Relationship Id="rId34" Type="http://schemas.openxmlformats.org/officeDocument/2006/relationships/hyperlink" Target="https://www.ahrq.gov/sites/default/files/wysiwyg/hai/tools/surgery/10-frontline-provider.pptx" TargetMode="External"/><Relationship Id="rId42" Type="http://schemas.openxmlformats.org/officeDocument/2006/relationships/hyperlink" Target="https://www.ahrq.gov/sites/default/files/wysiwyg/hai/tools/surgery/51-regional-analgesia-arthroplasty.pptx" TargetMode="External"/><Relationship Id="rId47" Type="http://schemas.openxmlformats.org/officeDocument/2006/relationships/hyperlink" Target="https://www.ahrq.gov/hai/tools/enhanced-recovery/implementing/patient-booklets.html" TargetMode="External"/><Relationship Id="rId50" Type="http://schemas.openxmlformats.org/officeDocument/2006/relationships/hyperlink" Target="https://www.ahrq.gov/sites/default/files/wysiwyg/hai/tools/surgery/45-iscr-pathway-audit-tool.xlsx" TargetMode="External"/><Relationship Id="rId55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yperlink" Target="https://www.ahrq.gov/hai/cusp/index.html" TargetMode="External"/><Relationship Id="rId17" Type="http://schemas.openxmlformats.org/officeDocument/2006/relationships/hyperlink" Target="https://www.ahrq.gov/sites/default/files/wysiwyg/hai/tools/surgery/7-implementation-guide.docx" TargetMode="External"/><Relationship Id="rId25" Type="http://schemas.openxmlformats.org/officeDocument/2006/relationships/hyperlink" Target="https://www.ahrq.gov/sites/default/files/wysiwyg/hai/tools/surgery/7-implementation-guide.docx" TargetMode="External"/><Relationship Id="rId33" Type="http://schemas.openxmlformats.org/officeDocument/2006/relationships/hyperlink" Target="https://www.ahrq.gov/sites/default/files/wysiwyg/hai/tools/surgery/57-senior-executives-facilitator.docx" TargetMode="External"/><Relationship Id="rId38" Type="http://schemas.openxmlformats.org/officeDocument/2006/relationships/hyperlink" Target="https://www.ahrq.gov/sites/default/files/wysiwyg/hai/tools/surgery/47-prep-colorectal-surgery.pptx" TargetMode="External"/><Relationship Id="rId46" Type="http://schemas.openxmlformats.org/officeDocument/2006/relationships/hyperlink" Target="https://www.ahrq.gov/sites/default/files/wysiwyg/hai/tools/surgery/19-perioperative-teams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29" Type="http://schemas.openxmlformats.org/officeDocument/2006/relationships/hyperlink" Target="https://www.ahrq.gov/sites/default/files/wysiwyg/hai/tools/surgery/14-engaging-stakeholders.pptx" TargetMode="External"/><Relationship Id="rId41" Type="http://schemas.openxmlformats.org/officeDocument/2006/relationships/hyperlink" Target="https://www.ahrq.gov/sites/default/files/wysiwyg/hai/tools/surgery/50-multimodal-analgesia-facilitator.docx" TargetMode="Externa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hrq.gov/sites/default/files/wysiwyg/hai/tools/surgery/4-overview-facilitator-guide.docx" TargetMode="External"/><Relationship Id="rId24" Type="http://schemas.openxmlformats.org/officeDocument/2006/relationships/hyperlink" Target="https://www.ahrq.gov/sites/default/files/wysiwyg/hai/tools/surgery/7-implementation-guide.docx" TargetMode="External"/><Relationship Id="rId32" Type="http://schemas.openxmlformats.org/officeDocument/2006/relationships/hyperlink" Target="https://www.ahrq.gov/sites/default/files/wysiwyg/hai/tools/surgery/9-senior-executives.docx" TargetMode="External"/><Relationship Id="rId37" Type="http://schemas.openxmlformats.org/officeDocument/2006/relationships/hyperlink" Target="https://www.ahrq.gov/sites/default/files/wysiwyg/hai/tools/surgery/17-engaging-stakeholders-data.docx" TargetMode="External"/><Relationship Id="rId40" Type="http://schemas.openxmlformats.org/officeDocument/2006/relationships/hyperlink" Target="https://www.ahrq.gov/sites/default/files/wysiwyg/hai/tools/surgery/49-multimodal-analgesia.pptx" TargetMode="External"/><Relationship Id="rId45" Type="http://schemas.openxmlformats.org/officeDocument/2006/relationships/hyperlink" Target="https://www.ahrq.gov/sites/default/files/wysiwyg/hai/tools/surgery/44-sample-pathway-checklist.docx" TargetMode="External"/><Relationship Id="rId53" Type="http://schemas.openxmlformats.org/officeDocument/2006/relationships/hyperlink" Target="https://www.ahrq.gov/sites/default/files/wysiwyg/hai/tools/surgery/6-gap-analysis-goal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ahrq.gov/sites/default/files/wysiwyg/hai/tools/surgery/6-gap-analysis-goal.docx" TargetMode="External"/><Relationship Id="rId28" Type="http://schemas.openxmlformats.org/officeDocument/2006/relationships/hyperlink" Target="https://www.ahrq.gov/sites/default/files/wysiwyg/hai/tools/surgery/13-identifying-stakeholders-analysis.docx" TargetMode="External"/><Relationship Id="rId36" Type="http://schemas.openxmlformats.org/officeDocument/2006/relationships/hyperlink" Target="https://www.ahrq.gov/sites/default/files/wysiwyg/hai/tools/surgery/18-template-ISCR-pathway.docx" TargetMode="External"/><Relationship Id="rId49" Type="http://schemas.openxmlformats.org/officeDocument/2006/relationships/hyperlink" Target="https://www.ahrq.gov/sites/default/files/wysiwyg/hai/tools/surgery/44-sample-pathway-checklist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hrq.gov/sites/default/files/wysiwyg/hai/tools/surgery/3-program-overview.pptx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www.ahrq.gov/sites/default/files/wysiwyg/hai/tools/surgery/16-engaging-stakeholders-pitch.docx" TargetMode="External"/><Relationship Id="rId44" Type="http://schemas.openxmlformats.org/officeDocument/2006/relationships/hyperlink" Target="https://www.ahrq.gov/sites/default/files/wysiwyg/hai/tools/surgery/43-pathway-worksheet.docx" TargetMode="External"/><Relationship Id="rId52" Type="http://schemas.openxmlformats.org/officeDocument/2006/relationships/hyperlink" Target="https://www.ahrq.gov/sites/default/files/wysiwyg/hai/tools/surgery/46-facilitators-barrier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www.ahrq.gov/sites/default/files/wysiwyg/hai/tools/surgery/5-red-light-green-light.docx" TargetMode="External"/><Relationship Id="rId27" Type="http://schemas.openxmlformats.org/officeDocument/2006/relationships/hyperlink" Target="https://www.ahrq.gov/sites/default/files/wysiwyg/hai/tools/surgery/12-identifying-stakeholders-facilitator.docx" TargetMode="External"/><Relationship Id="rId30" Type="http://schemas.openxmlformats.org/officeDocument/2006/relationships/hyperlink" Target="https://www.ahrq.gov/sites/default/files/wysiwyg/hai/tools/surgery/15-engaging-stakeholders-facilitator.docx" TargetMode="External"/><Relationship Id="rId35" Type="http://schemas.openxmlformats.org/officeDocument/2006/relationships/hyperlink" Target="https://www.ahrq.gov/sites/default/files/wysiwyg/hai/tools/surgery/58-frontline-presentation-template.docx" TargetMode="External"/><Relationship Id="rId43" Type="http://schemas.openxmlformats.org/officeDocument/2006/relationships/hyperlink" Target="https://www.ahrq.gov/sites/default/files/wysiwyg/hai/tools/surgery/52-regional-analgesia-arthroplasty-facilitator.docx" TargetMode="External"/><Relationship Id="rId48" Type="http://schemas.openxmlformats.org/officeDocument/2006/relationships/hyperlink" Target="https://www.ahrq.gov/sites/default/files/wysiwyg/hai/tools/surgery/43-pathway-worksheet.docx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ahrq.gov/sites/default/files/wysiwyg/hai/tools/surgery/17-engaging-stakeholders-data.docx" TargetMode="Externa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irley1\Johns%20Hopkins\Michael%20Rosen%20-%20AHRQ%20ISCR%20Program\AHRQ%20ISCR%20Toolkit\ISC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CC0FC43363F4486EF125B20F142DD" ma:contentTypeVersion="13" ma:contentTypeDescription="Create a new document." ma:contentTypeScope="" ma:versionID="76376da4425270c5e8de56d6a1491260">
  <xsd:schema xmlns:xsd="http://www.w3.org/2001/XMLSchema" xmlns:xs="http://www.w3.org/2001/XMLSchema" xmlns:p="http://schemas.microsoft.com/office/2006/metadata/properties" xmlns:ns3="049c2de0-4c44-4bec-aa11-008a15ef5db0" xmlns:ns4="0ca66267-29c9-4f79-ad07-5fdfcb821135" targetNamespace="http://schemas.microsoft.com/office/2006/metadata/properties" ma:root="true" ma:fieldsID="e57926fedf8de957e34099befb03a631" ns3:_="" ns4:_="">
    <xsd:import namespace="049c2de0-4c44-4bec-aa11-008a15ef5db0"/>
    <xsd:import namespace="0ca66267-29c9-4f79-ad07-5fdfcb8211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2de0-4c44-4bec-aa11-008a15ef5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6267-29c9-4f79-ad07-5fdfcb82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33324-DE23-4879-9D96-B2ABEFB4D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AD89A-14E7-4C4B-B2D0-4B9F741A8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B7A9C-D865-4F6A-AA39-027C871F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c2de0-4c44-4bec-aa11-008a15ef5db0"/>
    <ds:schemaRef ds:uri="0ca66267-29c9-4f79-ad07-5fdfcb821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ISCR Template.dotx</Template>
  <TotalTime>35</TotalTime>
  <Pages>6</Pages>
  <Words>1724</Words>
  <Characters>11177</Characters>
  <Application>Microsoft Office Word</Application>
  <DocSecurity>0</DocSecurity>
  <Lines>349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Links>
    <vt:vector size="6" baseType="variant">
      <vt:variant>
        <vt:i4>4390918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https://www.ahrq.gov/hai/cusp/index.html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Hanahan</dc:creator>
  <cp:keywords/>
  <dc:description/>
  <cp:lastModifiedBy>Nawrocki, Laura (AHRQ/OC) (CTR)</cp:lastModifiedBy>
  <cp:revision>6</cp:revision>
  <dcterms:created xsi:type="dcterms:W3CDTF">2022-12-14T20:26:00Z</dcterms:created>
  <dcterms:modified xsi:type="dcterms:W3CDTF">2023-06-09T05:35:00Z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0x010100D96CC0FC43363F4486EF125B20F142DD</vt:lpwstr>
  </property>
</Properties>
</file>