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789A" w14:textId="31F2B089" w:rsidR="008D1CF0" w:rsidRDefault="005A27D0" w:rsidP="009C7C23">
      <w:pPr>
        <w:pStyle w:val="Title"/>
      </w:pPr>
      <w:bookmarkStart w:id="0" w:name="_Toc117000788"/>
      <w:bookmarkStart w:id="1" w:name="_Hlk111457068"/>
      <w:r>
        <w:t>Improving Surgical Care and Recovery</w:t>
      </w:r>
      <w:r w:rsidR="00374FD7">
        <w:t xml:space="preserve"> Core and Surgery Specific Pathways Worksheet </w:t>
      </w:r>
      <w:bookmarkEnd w:id="0"/>
    </w:p>
    <w:p w14:paraId="09B3A615" w14:textId="68B1E0C6" w:rsidR="00101810" w:rsidRDefault="002272BA" w:rsidP="00374FD7">
      <w:pPr>
        <w:pStyle w:val="BodyText1"/>
      </w:pPr>
      <w:r w:rsidRPr="00374FD7">
        <w:t>Use this worksheet to develop enhanced recovery pathway</w:t>
      </w:r>
      <w:r w:rsidR="00251AF1">
        <w:t>s</w:t>
      </w:r>
      <w:r w:rsidRPr="00374FD7">
        <w:t xml:space="preserve"> for use at your hospital. The information in this tool is based on evidence reviews </w:t>
      </w:r>
      <w:r w:rsidR="00D65AEE">
        <w:t>(</w:t>
      </w:r>
      <w:r w:rsidR="000E5AEF">
        <w:t>s</w:t>
      </w:r>
      <w:r w:rsidR="00D65AEE">
        <w:t xml:space="preserve">ee appendix) </w:t>
      </w:r>
      <w:r w:rsidRPr="00374FD7">
        <w:t xml:space="preserve">conducted by the </w:t>
      </w:r>
      <w:r w:rsidR="00251AF1">
        <w:t>N</w:t>
      </w:r>
      <w:r w:rsidRPr="00374FD7">
        <w:t xml:space="preserve">ational </w:t>
      </w:r>
      <w:r w:rsidR="00251AF1">
        <w:t>P</w:t>
      </w:r>
      <w:r w:rsidRPr="00374FD7">
        <w:t xml:space="preserve">roject </w:t>
      </w:r>
      <w:r w:rsidR="00251AF1">
        <w:t>T</w:t>
      </w:r>
      <w:r w:rsidRPr="00374FD7">
        <w:t>eam at the American College of Surgeons and Johns Hopkins Armstrong Institute for Patient Safety and Quality. The evidence reviews included literature search</w:t>
      </w:r>
      <w:r w:rsidR="00251AF1">
        <w:t>es</w:t>
      </w:r>
      <w:r w:rsidRPr="00374FD7">
        <w:t>, followed by review</w:t>
      </w:r>
      <w:r w:rsidR="00251AF1">
        <w:t>s</w:t>
      </w:r>
      <w:r w:rsidRPr="00374FD7">
        <w:t xml:space="preserve"> </w:t>
      </w:r>
      <w:r w:rsidR="00251AF1">
        <w:t>(</w:t>
      </w:r>
      <w:r w:rsidRPr="00374FD7">
        <w:t>including meta-analyses and systematic reviews</w:t>
      </w:r>
      <w:r w:rsidR="00251AF1">
        <w:t xml:space="preserve">) </w:t>
      </w:r>
      <w:r w:rsidR="00251AF1" w:rsidRPr="00374FD7">
        <w:t xml:space="preserve">of relevant </w:t>
      </w:r>
      <w:r w:rsidR="00656BEF" w:rsidRPr="00374FD7">
        <w:t xml:space="preserve">available </w:t>
      </w:r>
      <w:r w:rsidR="00251AF1" w:rsidRPr="00374FD7">
        <w:t>articles</w:t>
      </w:r>
      <w:r w:rsidR="00656BEF">
        <w:t>,</w:t>
      </w:r>
      <w:r w:rsidRPr="00374FD7">
        <w:t xml:space="preserve"> as well as review</w:t>
      </w:r>
      <w:r w:rsidR="0055266A">
        <w:t>s</w:t>
      </w:r>
      <w:r w:rsidRPr="00374FD7">
        <w:t xml:space="preserve"> of relevant published guidelines. </w:t>
      </w:r>
    </w:p>
    <w:p w14:paraId="4BF729F4" w14:textId="5E3DFCA2" w:rsidR="00DA32AD" w:rsidRDefault="00101810" w:rsidP="00374FD7">
      <w:pPr>
        <w:pStyle w:val="BodyText1"/>
      </w:pPr>
      <w:r w:rsidRPr="00101810">
        <w:t xml:space="preserve">The </w:t>
      </w:r>
      <w:r w:rsidR="0057650B">
        <w:t>Improving Surgical Care and Recovery (</w:t>
      </w:r>
      <w:r w:rsidRPr="00101810">
        <w:t>ISCR</w:t>
      </w:r>
      <w:r w:rsidR="0057650B">
        <w:t>)</w:t>
      </w:r>
      <w:r w:rsidRPr="00101810">
        <w:t xml:space="preserve"> program was developed for colorectal, gynecologic, </w:t>
      </w:r>
      <w:r w:rsidR="00656BEF">
        <w:t xml:space="preserve">specific </w:t>
      </w:r>
      <w:r w:rsidRPr="00101810">
        <w:t xml:space="preserve">orthopedic, and emergency general surgery procedures. </w:t>
      </w:r>
      <w:r w:rsidR="00DA32AD">
        <w:t xml:space="preserve">Recommended approaches and </w:t>
      </w:r>
      <w:r w:rsidR="00656BEF">
        <w:t>s</w:t>
      </w:r>
      <w:r w:rsidRPr="00101810">
        <w:t>ample</w:t>
      </w:r>
      <w:r w:rsidR="00DA32AD">
        <w:t xml:space="preserve"> processes to consider are based on </w:t>
      </w:r>
      <w:r w:rsidRPr="00101810">
        <w:t>these types of procedures</w:t>
      </w:r>
      <w:r w:rsidR="00656BEF">
        <w:t>.  H</w:t>
      </w:r>
      <w:r w:rsidRPr="00101810">
        <w:t xml:space="preserve">owever, </w:t>
      </w:r>
      <w:r w:rsidR="00927B83">
        <w:t xml:space="preserve">some </w:t>
      </w:r>
      <w:r w:rsidRPr="00101810">
        <w:t xml:space="preserve">hospitals </w:t>
      </w:r>
      <w:r w:rsidR="00927B83">
        <w:t xml:space="preserve">in the program also </w:t>
      </w:r>
      <w:r w:rsidR="00656BEF">
        <w:t>expanded their use of</w:t>
      </w:r>
      <w:r w:rsidRPr="00101810">
        <w:t xml:space="preserve"> </w:t>
      </w:r>
      <w:r w:rsidR="00927B83">
        <w:t xml:space="preserve">these </w:t>
      </w:r>
      <w:r w:rsidRPr="00101810">
        <w:t>pathways to other surgical procedures.</w:t>
      </w:r>
      <w:r w:rsidR="00D003A0">
        <w:t xml:space="preserve"> Many elements of the ISCR pathway will </w:t>
      </w:r>
      <w:r w:rsidR="00927B83">
        <w:t xml:space="preserve">also apply to </w:t>
      </w:r>
      <w:r w:rsidR="00D003A0">
        <w:t>other procedures</w:t>
      </w:r>
      <w:r w:rsidR="00656BEF">
        <w:t>. H</w:t>
      </w:r>
      <w:r w:rsidR="00D003A0">
        <w:t xml:space="preserve">owever, there will be differences. It is recommended that you </w:t>
      </w:r>
      <w:r w:rsidR="000E5AEF">
        <w:t>review the evidence</w:t>
      </w:r>
      <w:r w:rsidR="00D003A0">
        <w:t xml:space="preserve"> for other surgical procedures before spreading </w:t>
      </w:r>
      <w:r w:rsidR="004F6155">
        <w:t>beyond the ISCR pathway</w:t>
      </w:r>
      <w:r w:rsidR="00927B83">
        <w:t>s</w:t>
      </w:r>
      <w:r w:rsidR="004F6155">
        <w:t xml:space="preserve"> included in this program.</w:t>
      </w:r>
    </w:p>
    <w:p w14:paraId="64114390" w14:textId="0B11BB01" w:rsidR="002272BA" w:rsidRDefault="002272BA" w:rsidP="00374FD7">
      <w:pPr>
        <w:pStyle w:val="BodyText1"/>
      </w:pPr>
      <w:r w:rsidRPr="00374FD7">
        <w:t xml:space="preserve">This worksheet should be used by your team, in conjunction with the </w:t>
      </w:r>
      <w:r w:rsidR="0062151C">
        <w:t xml:space="preserve">review of </w:t>
      </w:r>
      <w:r w:rsidRPr="00374FD7">
        <w:t xml:space="preserve">evidence, to develop a clinical pathway that incorporates the </w:t>
      </w:r>
      <w:r w:rsidR="0062151C">
        <w:t>processes</w:t>
      </w:r>
      <w:r w:rsidR="0062151C" w:rsidRPr="00374FD7">
        <w:t xml:space="preserve"> </w:t>
      </w:r>
      <w:r w:rsidRPr="00374FD7">
        <w:t>of enhanced recovery (</w:t>
      </w:r>
      <w:r w:rsidR="00927B83">
        <w:t xml:space="preserve">e.g., use of </w:t>
      </w:r>
      <w:r w:rsidRPr="00374FD7">
        <w:t>narcotic</w:t>
      </w:r>
      <w:r w:rsidR="00927B83">
        <w:t>-</w:t>
      </w:r>
      <w:r w:rsidRPr="00374FD7">
        <w:t xml:space="preserve">sparing multimodal </w:t>
      </w:r>
      <w:r w:rsidR="004F6155">
        <w:t>pain management</w:t>
      </w:r>
      <w:r w:rsidRPr="00374FD7">
        <w:t>, early restoration of functional status, avoidance of prolonged fasting periods) and best practices for prevent</w:t>
      </w:r>
      <w:r w:rsidR="00927B83">
        <w:t>ing</w:t>
      </w:r>
      <w:r w:rsidRPr="00374FD7">
        <w:t xml:space="preserve"> harms (</w:t>
      </w:r>
      <w:r w:rsidR="00927B83">
        <w:t xml:space="preserve">e.g., </w:t>
      </w:r>
      <w:r w:rsidRPr="00374FD7">
        <w:t xml:space="preserve">surgical site infection, venous thromboembolism and urinary tract infection). This worksheet includes some common approaches for incorporating these </w:t>
      </w:r>
      <w:r w:rsidR="001124F5">
        <w:t>processes</w:t>
      </w:r>
      <w:r w:rsidR="001124F5" w:rsidRPr="00374FD7">
        <w:t xml:space="preserve"> </w:t>
      </w:r>
      <w:r w:rsidRPr="00374FD7">
        <w:t>in your pathway</w:t>
      </w:r>
      <w:r w:rsidR="0055266A">
        <w:t>,</w:t>
      </w:r>
      <w:r w:rsidRPr="00374FD7">
        <w:t xml:space="preserve"> but there may be other approaches that are also appropriate. We anticipate that pathways will vary from hospital to hospital because </w:t>
      </w:r>
      <w:r w:rsidR="00927B83">
        <w:t xml:space="preserve">only </w:t>
      </w:r>
      <w:r w:rsidRPr="00374FD7">
        <w:t>certain skills or medications may be available</w:t>
      </w:r>
      <w:r w:rsidR="00927B83">
        <w:t xml:space="preserve"> in some sites</w:t>
      </w:r>
      <w:r w:rsidR="00656BEF">
        <w:t>.</w:t>
      </w:r>
      <w:r w:rsidRPr="00374FD7">
        <w:t xml:space="preserve"> </w:t>
      </w:r>
      <w:r w:rsidR="00656BEF">
        <w:t xml:space="preserve">However, </w:t>
      </w:r>
      <w:r w:rsidRPr="00374FD7">
        <w:t xml:space="preserve">it is important to try to adhere to as many of the </w:t>
      </w:r>
      <w:r w:rsidR="00823A8B">
        <w:t>processes</w:t>
      </w:r>
      <w:r w:rsidR="00823A8B" w:rsidRPr="00374FD7">
        <w:t xml:space="preserve"> </w:t>
      </w:r>
      <w:r w:rsidRPr="00374FD7">
        <w:t>as possible.</w:t>
      </w:r>
      <w:r w:rsidR="00823A8B">
        <w:t xml:space="preserve"> </w:t>
      </w:r>
      <w:r w:rsidR="00083C88">
        <w:t>H</w:t>
      </w:r>
      <w:r w:rsidR="00325F58">
        <w:t>igher</w:t>
      </w:r>
      <w:r w:rsidR="00083C88">
        <w:t xml:space="preserve"> rates of</w:t>
      </w:r>
      <w:r w:rsidR="00325F58">
        <w:t xml:space="preserve"> </w:t>
      </w:r>
      <w:r w:rsidR="004E7816">
        <w:t xml:space="preserve">adherence </w:t>
      </w:r>
      <w:r w:rsidR="00325F58">
        <w:t xml:space="preserve">to </w:t>
      </w:r>
      <w:r w:rsidR="00083C88">
        <w:t xml:space="preserve">a more comprehensive bundle of </w:t>
      </w:r>
      <w:r w:rsidR="004E7816">
        <w:t>enhanced recovery processes is associated with fewer overall complications</w:t>
      </w:r>
      <w:r w:rsidR="00B160FD">
        <w:t>, reduced lengths of stay,</w:t>
      </w:r>
      <w:r w:rsidR="004E7816">
        <w:t xml:space="preserve"> and lower mortality</w:t>
      </w:r>
      <w:r w:rsidR="00325F58">
        <w:t>.</w:t>
      </w:r>
      <w:r w:rsidR="00325F58" w:rsidRPr="00083C88">
        <w:rPr>
          <w:vertAlign w:val="superscript"/>
        </w:rPr>
        <w:t>1-3</w:t>
      </w:r>
    </w:p>
    <w:p w14:paraId="6522FED5" w14:textId="77777777" w:rsidR="002272BA" w:rsidRPr="00374FD7" w:rsidRDefault="002272BA" w:rsidP="00374FD7">
      <w:pPr>
        <w:pStyle w:val="BodyText1"/>
        <w:rPr>
          <w:b/>
        </w:rPr>
      </w:pPr>
      <w:r w:rsidRPr="00374FD7">
        <w:rPr>
          <w:b/>
        </w:rPr>
        <w:t>Disclaimer:</w:t>
      </w:r>
    </w:p>
    <w:p w14:paraId="0A9710C4" w14:textId="77777777" w:rsidR="002272BA" w:rsidRPr="00374FD7" w:rsidRDefault="002272BA" w:rsidP="00374FD7">
      <w:pPr>
        <w:pStyle w:val="BodyText1"/>
        <w:rPr>
          <w:b/>
        </w:rPr>
      </w:pPr>
      <w:r w:rsidRPr="00374FD7">
        <w:rPr>
          <w:b/>
        </w:rPr>
        <w:t>The findings and recommendations in this document are those of the authors, who are responsible for its content, and do not necessarily represent the views of AHRQ. No statement in this report should be construed as an official position of AHRQ or of the U.S. Department of Health and Human Services.</w:t>
      </w:r>
    </w:p>
    <w:p w14:paraId="606AEB72" w14:textId="423FDB46" w:rsidR="002272BA" w:rsidRPr="00374FD7" w:rsidRDefault="002272BA" w:rsidP="00374FD7">
      <w:pPr>
        <w:pStyle w:val="BodyText1"/>
        <w:rPr>
          <w:b/>
        </w:rPr>
      </w:pPr>
      <w:r w:rsidRPr="00374FD7">
        <w:rPr>
          <w:b/>
        </w:rPr>
        <w:t>Any practice described in this document must be applied by healthcare practitioners in accordance with professional judgement and standards of care in regard to the unique circumstances that may apply in each situation they encounter.</w:t>
      </w:r>
    </w:p>
    <w:p w14:paraId="00D74FC1" w14:textId="77777777" w:rsidR="00574FA1" w:rsidRDefault="002272BA" w:rsidP="00DD529B">
      <w:pPr>
        <w:pStyle w:val="BodyText1"/>
        <w:rPr>
          <w:b/>
        </w:rPr>
      </w:pPr>
      <w:r w:rsidRPr="00374FD7">
        <w:rPr>
          <w:b/>
        </w:rPr>
        <w:t>Use of brand, manufacturer, or vendor names is for identification only and does not imply endorsement by the Agency for Healthcare Research and Quality or the U.S. Department of Health and Human Services.</w:t>
      </w:r>
    </w:p>
    <w:p w14:paraId="5F1B62B2" w14:textId="77777777" w:rsidR="00083C88" w:rsidRDefault="00083C88">
      <w:pPr>
        <w:spacing w:after="160" w:line="259" w:lineRule="auto"/>
        <w:ind w:left="360" w:hanging="360"/>
        <w:rPr>
          <w:b/>
        </w:rPr>
      </w:pPr>
      <w:r>
        <w:rPr>
          <w:b/>
        </w:rPr>
        <w:br w:type="page"/>
      </w:r>
    </w:p>
    <w:p w14:paraId="38A640B9" w14:textId="77777777" w:rsidR="00B160FD" w:rsidRPr="00083C88" w:rsidRDefault="00B160FD" w:rsidP="00DD529B">
      <w:pPr>
        <w:pStyle w:val="BodyText1"/>
        <w:rPr>
          <w:b/>
        </w:rPr>
      </w:pPr>
      <w:r w:rsidRPr="00083C88">
        <w:rPr>
          <w:b/>
        </w:rPr>
        <w:lastRenderedPageBreak/>
        <w:t>References</w:t>
      </w:r>
    </w:p>
    <w:p w14:paraId="10B7E91C" w14:textId="77777777" w:rsidR="00C222AB" w:rsidRDefault="00C222AB" w:rsidP="00C222AB">
      <w:pPr>
        <w:pStyle w:val="Reference"/>
        <w:sectPr w:rsidR="00C222AB" w:rsidSect="000118FF">
          <w:footerReference w:type="default" r:id="rId10"/>
          <w:headerReference w:type="first" r:id="rId11"/>
          <w:pgSz w:w="12240" w:h="15840" w:code="1"/>
          <w:pgMar w:top="1440" w:right="1080" w:bottom="1440" w:left="1080" w:header="720" w:footer="720" w:gutter="0"/>
          <w:cols w:space="720"/>
          <w:titlePg/>
          <w:docGrid w:linePitch="360"/>
        </w:sectPr>
      </w:pPr>
    </w:p>
    <w:p w14:paraId="5D0DDA63" w14:textId="77E1138C" w:rsidR="00B160FD" w:rsidRDefault="00B160FD" w:rsidP="009C7C23">
      <w:pPr>
        <w:pStyle w:val="Reference"/>
      </w:pPr>
      <w:r>
        <w:t xml:space="preserve">1. </w:t>
      </w:r>
      <w:proofErr w:type="spellStart"/>
      <w:r w:rsidRPr="00B160FD">
        <w:t>Ripollés</w:t>
      </w:r>
      <w:proofErr w:type="spellEnd"/>
      <w:r w:rsidRPr="00B160FD">
        <w:t xml:space="preserve">-Melchor J, Ramírez-Rodríguez JM, </w:t>
      </w:r>
      <w:proofErr w:type="spellStart"/>
      <w:r w:rsidRPr="00B160FD">
        <w:t>Casans-Francés</w:t>
      </w:r>
      <w:proofErr w:type="spellEnd"/>
      <w:r w:rsidRPr="00B160FD">
        <w:t xml:space="preserve"> R, </w:t>
      </w:r>
      <w:r>
        <w:t xml:space="preserve">et al. </w:t>
      </w:r>
      <w:r w:rsidRPr="00B160FD">
        <w:t xml:space="preserve">Association </w:t>
      </w:r>
      <w:r w:rsidR="00672BDD" w:rsidRPr="00B160FD">
        <w:t>between use of enhanced recovery after surgery protocol and postoperative complications in colorectal surgery: the</w:t>
      </w:r>
      <w:r w:rsidRPr="00B160FD">
        <w:t xml:space="preserve"> Postoperative Outcomes Within Enhanced Recovery After Surgery Protocol (POWER) Study. JAMA Surg. 2019 Aug 1;154(8):725-736. </w:t>
      </w:r>
      <w:proofErr w:type="spellStart"/>
      <w:r w:rsidRPr="00B160FD">
        <w:t>doi</w:t>
      </w:r>
      <w:proofErr w:type="spellEnd"/>
      <w:r w:rsidRPr="00B160FD">
        <w:t>: 10.1001/jamasurg.2019.0995. Erratum in: JAMA Surg. 2022 May 1;157(5):460. PMID: 31066889; PMCID: PMC6506896.</w:t>
      </w:r>
    </w:p>
    <w:p w14:paraId="777FF85B" w14:textId="3AE36755" w:rsidR="00325F58" w:rsidRDefault="00325F58" w:rsidP="009C7C23">
      <w:pPr>
        <w:pStyle w:val="Reference"/>
      </w:pPr>
      <w:r>
        <w:t xml:space="preserve">2. </w:t>
      </w:r>
      <w:r w:rsidRPr="00325F58">
        <w:t xml:space="preserve">Wei IH, </w:t>
      </w:r>
      <w:proofErr w:type="spellStart"/>
      <w:r w:rsidRPr="00325F58">
        <w:t>Pappou</w:t>
      </w:r>
      <w:proofErr w:type="spellEnd"/>
      <w:r w:rsidRPr="00325F58">
        <w:t xml:space="preserve"> EP, Smith JJ, </w:t>
      </w:r>
      <w:r w:rsidR="00672BDD">
        <w:t>et al.</w:t>
      </w:r>
      <w:r w:rsidRPr="00325F58">
        <w:t xml:space="preserve"> Monitoring an </w:t>
      </w:r>
      <w:r w:rsidR="00672BDD" w:rsidRPr="00325F58">
        <w:t>ongoing enhanced recovery after surgery (eras) program: adherence improves clinical outcomes in a comparison of three thousand colorectal cases</w:t>
      </w:r>
      <w:r w:rsidRPr="00325F58">
        <w:t xml:space="preserve">. Clin Surg. 2020 Aug;5:2909. </w:t>
      </w:r>
      <w:proofErr w:type="spellStart"/>
      <w:r w:rsidRPr="00325F58">
        <w:t>Epub</w:t>
      </w:r>
      <w:proofErr w:type="spellEnd"/>
      <w:r w:rsidRPr="00325F58">
        <w:t xml:space="preserve"> 2020 Aug 10. PMID: 33163851; PMCID: PMC7643765. </w:t>
      </w:r>
    </w:p>
    <w:p w14:paraId="0367A696" w14:textId="29C9A767" w:rsidR="00DA32AD" w:rsidRDefault="00C222AB" w:rsidP="009C7C23">
      <w:pPr>
        <w:pStyle w:val="Reference"/>
      </w:pPr>
      <w:r>
        <w:br w:type="column"/>
      </w:r>
      <w:r w:rsidR="00325F58">
        <w:t>3</w:t>
      </w:r>
      <w:r w:rsidR="00B160FD">
        <w:t xml:space="preserve">. </w:t>
      </w:r>
      <w:proofErr w:type="spellStart"/>
      <w:r w:rsidR="00B160FD" w:rsidRPr="00083C88">
        <w:t>Ripollés</w:t>
      </w:r>
      <w:proofErr w:type="spellEnd"/>
      <w:r w:rsidR="00B160FD" w:rsidRPr="00083C88">
        <w:t>-Melchor J, Abad-</w:t>
      </w:r>
      <w:proofErr w:type="spellStart"/>
      <w:r w:rsidR="00B160FD" w:rsidRPr="00083C88">
        <w:t>Motos</w:t>
      </w:r>
      <w:proofErr w:type="spellEnd"/>
      <w:r w:rsidR="00B160FD" w:rsidRPr="00083C88">
        <w:t xml:space="preserve"> A, </w:t>
      </w:r>
      <w:proofErr w:type="spellStart"/>
      <w:r w:rsidR="00B160FD" w:rsidRPr="00083C88">
        <w:t>Díez-Remesal</w:t>
      </w:r>
      <w:proofErr w:type="spellEnd"/>
      <w:r w:rsidR="00B160FD" w:rsidRPr="00083C88">
        <w:t xml:space="preserve"> Y, et al. Association </w:t>
      </w:r>
      <w:r w:rsidR="00672BDD" w:rsidRPr="00083C88">
        <w:t xml:space="preserve">between use of enhanced recovery after surgery protocol and postoperative complications in total hip and knee arthroplasty in the </w:t>
      </w:r>
      <w:r w:rsidR="00B160FD" w:rsidRPr="00083C88">
        <w:t xml:space="preserve">Postoperative Outcomes Within Enhanced Recovery After Surgery Protocol in Elective Total Hip and Knee Arthroplasty Study (POWER2). JAMA Surg. 2020 Apr 1;155(4):e196024. </w:t>
      </w:r>
      <w:proofErr w:type="spellStart"/>
      <w:r w:rsidR="00B160FD" w:rsidRPr="00083C88">
        <w:t>doi</w:t>
      </w:r>
      <w:proofErr w:type="spellEnd"/>
      <w:r w:rsidR="00B160FD" w:rsidRPr="00083C88">
        <w:t xml:space="preserve">: 10.1001/jamasurg.2019.6024. </w:t>
      </w:r>
      <w:proofErr w:type="spellStart"/>
      <w:r w:rsidR="00B160FD" w:rsidRPr="00083C88">
        <w:t>Epub</w:t>
      </w:r>
      <w:proofErr w:type="spellEnd"/>
      <w:r w:rsidR="00B160FD" w:rsidRPr="00083C88">
        <w:t xml:space="preserve"> 2020 Apr 15. PMID: 32049352; PMCID: PMC7042927.</w:t>
      </w:r>
    </w:p>
    <w:p w14:paraId="2FE89D08" w14:textId="77777777" w:rsidR="00C222AB" w:rsidRDefault="00C222AB">
      <w:pPr>
        <w:spacing w:after="160" w:line="259" w:lineRule="auto"/>
        <w:ind w:left="360" w:hanging="360"/>
        <w:sectPr w:rsidR="00C222AB" w:rsidSect="009C7C23">
          <w:type w:val="continuous"/>
          <w:pgSz w:w="12240" w:h="15840" w:code="1"/>
          <w:pgMar w:top="1440" w:right="1080" w:bottom="1440" w:left="1080" w:header="720" w:footer="720" w:gutter="0"/>
          <w:cols w:num="2" w:space="720"/>
          <w:titlePg/>
          <w:docGrid w:linePitch="360"/>
        </w:sectPr>
      </w:pPr>
    </w:p>
    <w:p w14:paraId="3A6E6EC8" w14:textId="1F2F812E" w:rsidR="00083C88" w:rsidRDefault="00083C88">
      <w:pPr>
        <w:spacing w:after="160" w:line="259" w:lineRule="auto"/>
        <w:ind w:left="360" w:hanging="360"/>
      </w:pPr>
      <w:r>
        <w:br w:type="page"/>
      </w:r>
    </w:p>
    <w:p w14:paraId="399CC187" w14:textId="77777777" w:rsidR="00083C88" w:rsidRDefault="00083C88" w:rsidP="00DD529B">
      <w:pPr>
        <w:pStyle w:val="BodyText1"/>
      </w:pPr>
    </w:p>
    <w:sdt>
      <w:sdtPr>
        <w:rPr>
          <w:rFonts w:asciiTheme="minorHAnsi" w:eastAsiaTheme="minorHAnsi" w:hAnsiTheme="minorHAnsi" w:cstheme="minorBidi"/>
          <w:color w:val="auto"/>
          <w:sz w:val="22"/>
          <w:szCs w:val="22"/>
        </w:rPr>
        <w:id w:val="-1697838776"/>
        <w:docPartObj>
          <w:docPartGallery w:val="Table of Contents"/>
          <w:docPartUnique/>
        </w:docPartObj>
      </w:sdtPr>
      <w:sdtEndPr>
        <w:rPr>
          <w:b/>
          <w:bCs/>
          <w:noProof/>
        </w:rPr>
      </w:sdtEndPr>
      <w:sdtContent>
        <w:p w14:paraId="4DB92DD6" w14:textId="77777777" w:rsidR="00574FA1" w:rsidRDefault="00574FA1">
          <w:pPr>
            <w:pStyle w:val="TOCHeading"/>
          </w:pPr>
          <w:r>
            <w:t>Contents</w:t>
          </w:r>
        </w:p>
        <w:p w14:paraId="542043C2" w14:textId="0C1FCA95" w:rsidR="008A611F" w:rsidRDefault="00574FA1" w:rsidP="008776FB">
          <w:pPr>
            <w:pStyle w:val="TOC1"/>
            <w:spacing w:after="0" w:line="240" w:lineRule="auto"/>
            <w:contextualSpacing/>
            <w:rPr>
              <w:rFonts w:eastAsiaTheme="minorEastAsia"/>
              <w:noProof/>
            </w:rPr>
          </w:pPr>
          <w:r>
            <w:fldChar w:fldCharType="begin"/>
          </w:r>
          <w:r>
            <w:instrText xml:space="preserve"> TOC \o "1-3" \h \z \u </w:instrText>
          </w:r>
          <w:r>
            <w:fldChar w:fldCharType="separate"/>
          </w:r>
          <w:hyperlink w:anchor="_Toc117000788" w:history="1">
            <w:r w:rsidR="008A611F" w:rsidRPr="00082474">
              <w:rPr>
                <w:rStyle w:val="Hyperlink"/>
                <w:noProof/>
              </w:rPr>
              <w:t xml:space="preserve">Improving Surgical Care and Recovery Core and Surgery Specific Pathways Worksheet </w:t>
            </w:r>
            <w:r w:rsidR="008A611F">
              <w:rPr>
                <w:noProof/>
                <w:webHidden/>
              </w:rPr>
              <w:tab/>
            </w:r>
            <w:r w:rsidR="008A611F">
              <w:rPr>
                <w:noProof/>
                <w:webHidden/>
              </w:rPr>
              <w:fldChar w:fldCharType="begin"/>
            </w:r>
            <w:r w:rsidR="008A611F">
              <w:rPr>
                <w:noProof/>
                <w:webHidden/>
              </w:rPr>
              <w:instrText xml:space="preserve"> PAGEREF _Toc117000788 \h </w:instrText>
            </w:r>
            <w:r w:rsidR="008A611F">
              <w:rPr>
                <w:noProof/>
                <w:webHidden/>
              </w:rPr>
            </w:r>
            <w:r w:rsidR="008A611F">
              <w:rPr>
                <w:noProof/>
                <w:webHidden/>
              </w:rPr>
              <w:fldChar w:fldCharType="separate"/>
            </w:r>
            <w:r w:rsidR="009C7C23">
              <w:rPr>
                <w:noProof/>
                <w:webHidden/>
              </w:rPr>
              <w:t>1</w:t>
            </w:r>
            <w:r w:rsidR="008A611F">
              <w:rPr>
                <w:noProof/>
                <w:webHidden/>
              </w:rPr>
              <w:fldChar w:fldCharType="end"/>
            </w:r>
          </w:hyperlink>
        </w:p>
        <w:p w14:paraId="74D43B38" w14:textId="1D689AE9" w:rsidR="008A611F" w:rsidRDefault="002570ED" w:rsidP="008776FB">
          <w:pPr>
            <w:pStyle w:val="TOC2"/>
            <w:tabs>
              <w:tab w:val="right" w:leader="dot" w:pos="10070"/>
            </w:tabs>
            <w:spacing w:after="0" w:line="240" w:lineRule="auto"/>
            <w:contextualSpacing/>
            <w:rPr>
              <w:rFonts w:eastAsiaTheme="minorEastAsia"/>
              <w:noProof/>
            </w:rPr>
          </w:pPr>
          <w:hyperlink w:anchor="_Toc117000789" w:history="1">
            <w:r w:rsidR="008A611F" w:rsidRPr="00082474">
              <w:rPr>
                <w:rStyle w:val="Hyperlink"/>
                <w:noProof/>
              </w:rPr>
              <w:t>Preoperative Patient Education</w:t>
            </w:r>
            <w:r w:rsidR="008A611F">
              <w:rPr>
                <w:noProof/>
                <w:webHidden/>
              </w:rPr>
              <w:tab/>
            </w:r>
            <w:r w:rsidR="008A611F">
              <w:rPr>
                <w:noProof/>
                <w:webHidden/>
              </w:rPr>
              <w:fldChar w:fldCharType="begin"/>
            </w:r>
            <w:r w:rsidR="008A611F">
              <w:rPr>
                <w:noProof/>
                <w:webHidden/>
              </w:rPr>
              <w:instrText xml:space="preserve"> PAGEREF _Toc117000789 \h </w:instrText>
            </w:r>
            <w:r w:rsidR="008A611F">
              <w:rPr>
                <w:noProof/>
                <w:webHidden/>
              </w:rPr>
            </w:r>
            <w:r w:rsidR="008A611F">
              <w:rPr>
                <w:noProof/>
                <w:webHidden/>
              </w:rPr>
              <w:fldChar w:fldCharType="separate"/>
            </w:r>
            <w:r w:rsidR="009C7C23">
              <w:rPr>
                <w:noProof/>
                <w:webHidden/>
              </w:rPr>
              <w:t>4</w:t>
            </w:r>
            <w:r w:rsidR="008A611F">
              <w:rPr>
                <w:noProof/>
                <w:webHidden/>
              </w:rPr>
              <w:fldChar w:fldCharType="end"/>
            </w:r>
          </w:hyperlink>
        </w:p>
        <w:p w14:paraId="0CF0DA11" w14:textId="0BE338CF" w:rsidR="008A611F" w:rsidRDefault="002570ED" w:rsidP="008776FB">
          <w:pPr>
            <w:pStyle w:val="TOC2"/>
            <w:tabs>
              <w:tab w:val="right" w:leader="dot" w:pos="10070"/>
            </w:tabs>
            <w:spacing w:after="0" w:line="240" w:lineRule="auto"/>
            <w:contextualSpacing/>
            <w:rPr>
              <w:rFonts w:eastAsiaTheme="minorEastAsia"/>
              <w:noProof/>
            </w:rPr>
          </w:pPr>
          <w:hyperlink w:anchor="_Toc117000790" w:history="1">
            <w:r w:rsidR="008A611F" w:rsidRPr="00082474">
              <w:rPr>
                <w:rStyle w:val="Hyperlink"/>
                <w:noProof/>
              </w:rPr>
              <w:t>Special Considerations for Elderly Patients</w:t>
            </w:r>
            <w:r w:rsidR="008A611F">
              <w:rPr>
                <w:noProof/>
                <w:webHidden/>
              </w:rPr>
              <w:tab/>
            </w:r>
            <w:r w:rsidR="008A611F">
              <w:rPr>
                <w:noProof/>
                <w:webHidden/>
              </w:rPr>
              <w:fldChar w:fldCharType="begin"/>
            </w:r>
            <w:r w:rsidR="008A611F">
              <w:rPr>
                <w:noProof/>
                <w:webHidden/>
              </w:rPr>
              <w:instrText xml:space="preserve"> PAGEREF _Toc117000790 \h </w:instrText>
            </w:r>
            <w:r w:rsidR="008A611F">
              <w:rPr>
                <w:noProof/>
                <w:webHidden/>
              </w:rPr>
            </w:r>
            <w:r w:rsidR="008A611F">
              <w:rPr>
                <w:noProof/>
                <w:webHidden/>
              </w:rPr>
              <w:fldChar w:fldCharType="separate"/>
            </w:r>
            <w:r w:rsidR="009C7C23">
              <w:rPr>
                <w:noProof/>
                <w:webHidden/>
              </w:rPr>
              <w:t>6</w:t>
            </w:r>
            <w:r w:rsidR="008A611F">
              <w:rPr>
                <w:noProof/>
                <w:webHidden/>
              </w:rPr>
              <w:fldChar w:fldCharType="end"/>
            </w:r>
          </w:hyperlink>
        </w:p>
        <w:p w14:paraId="0EEA886F" w14:textId="56322BA2" w:rsidR="008A611F" w:rsidRDefault="002570ED" w:rsidP="008776FB">
          <w:pPr>
            <w:pStyle w:val="TOC2"/>
            <w:tabs>
              <w:tab w:val="right" w:leader="dot" w:pos="10070"/>
            </w:tabs>
            <w:spacing w:after="0" w:line="240" w:lineRule="auto"/>
            <w:contextualSpacing/>
            <w:rPr>
              <w:rFonts w:eastAsiaTheme="minorEastAsia"/>
              <w:noProof/>
            </w:rPr>
          </w:pPr>
          <w:hyperlink w:anchor="_Toc117000791" w:history="1">
            <w:r w:rsidR="008A611F" w:rsidRPr="00082474">
              <w:rPr>
                <w:rStyle w:val="Hyperlink"/>
                <w:noProof/>
              </w:rPr>
              <w:t>Preoperative Medical Assessment</w:t>
            </w:r>
            <w:r w:rsidR="008A611F">
              <w:rPr>
                <w:noProof/>
                <w:webHidden/>
              </w:rPr>
              <w:tab/>
            </w:r>
            <w:r w:rsidR="008A611F">
              <w:rPr>
                <w:noProof/>
                <w:webHidden/>
              </w:rPr>
              <w:fldChar w:fldCharType="begin"/>
            </w:r>
            <w:r w:rsidR="008A611F">
              <w:rPr>
                <w:noProof/>
                <w:webHidden/>
              </w:rPr>
              <w:instrText xml:space="preserve"> PAGEREF _Toc117000791 \h </w:instrText>
            </w:r>
            <w:r w:rsidR="008A611F">
              <w:rPr>
                <w:noProof/>
                <w:webHidden/>
              </w:rPr>
            </w:r>
            <w:r w:rsidR="008A611F">
              <w:rPr>
                <w:noProof/>
                <w:webHidden/>
              </w:rPr>
              <w:fldChar w:fldCharType="separate"/>
            </w:r>
            <w:r w:rsidR="009C7C23">
              <w:rPr>
                <w:noProof/>
                <w:webHidden/>
              </w:rPr>
              <w:t>7</w:t>
            </w:r>
            <w:r w:rsidR="008A611F">
              <w:rPr>
                <w:noProof/>
                <w:webHidden/>
              </w:rPr>
              <w:fldChar w:fldCharType="end"/>
            </w:r>
          </w:hyperlink>
        </w:p>
        <w:p w14:paraId="5680BE06" w14:textId="0473DC6A" w:rsidR="008A611F" w:rsidRDefault="002570ED" w:rsidP="008776FB">
          <w:pPr>
            <w:pStyle w:val="TOC2"/>
            <w:tabs>
              <w:tab w:val="right" w:leader="dot" w:pos="10070"/>
            </w:tabs>
            <w:spacing w:after="0" w:line="240" w:lineRule="auto"/>
            <w:contextualSpacing/>
            <w:rPr>
              <w:rFonts w:eastAsiaTheme="minorEastAsia"/>
              <w:noProof/>
            </w:rPr>
          </w:pPr>
          <w:hyperlink w:anchor="_Toc117000792" w:history="1">
            <w:r w:rsidR="008A611F" w:rsidRPr="00082474">
              <w:rPr>
                <w:rStyle w:val="Hyperlink"/>
                <w:noProof/>
              </w:rPr>
              <w:t>Preoperative Venous Thromboembolism (VTE) Prophylaxis</w:t>
            </w:r>
            <w:r w:rsidR="008A611F">
              <w:rPr>
                <w:noProof/>
                <w:webHidden/>
              </w:rPr>
              <w:tab/>
            </w:r>
            <w:r w:rsidR="008A611F">
              <w:rPr>
                <w:noProof/>
                <w:webHidden/>
              </w:rPr>
              <w:fldChar w:fldCharType="begin"/>
            </w:r>
            <w:r w:rsidR="008A611F">
              <w:rPr>
                <w:noProof/>
                <w:webHidden/>
              </w:rPr>
              <w:instrText xml:space="preserve"> PAGEREF _Toc117000792 \h </w:instrText>
            </w:r>
            <w:r w:rsidR="008A611F">
              <w:rPr>
                <w:noProof/>
                <w:webHidden/>
              </w:rPr>
            </w:r>
            <w:r w:rsidR="008A611F">
              <w:rPr>
                <w:noProof/>
                <w:webHidden/>
              </w:rPr>
              <w:fldChar w:fldCharType="separate"/>
            </w:r>
            <w:r w:rsidR="009C7C23">
              <w:rPr>
                <w:noProof/>
                <w:webHidden/>
              </w:rPr>
              <w:t>9</w:t>
            </w:r>
            <w:r w:rsidR="008A611F">
              <w:rPr>
                <w:noProof/>
                <w:webHidden/>
              </w:rPr>
              <w:fldChar w:fldCharType="end"/>
            </w:r>
          </w:hyperlink>
        </w:p>
        <w:p w14:paraId="2406D2C2" w14:textId="2C0B2D95" w:rsidR="008A611F" w:rsidRDefault="002570ED" w:rsidP="008776FB">
          <w:pPr>
            <w:pStyle w:val="TOC2"/>
            <w:tabs>
              <w:tab w:val="right" w:leader="dot" w:pos="10070"/>
            </w:tabs>
            <w:spacing w:after="0" w:line="240" w:lineRule="auto"/>
            <w:contextualSpacing/>
            <w:rPr>
              <w:rFonts w:eastAsiaTheme="minorEastAsia"/>
              <w:noProof/>
            </w:rPr>
          </w:pPr>
          <w:hyperlink w:anchor="_Toc117000793" w:history="1">
            <w:r w:rsidR="008A611F" w:rsidRPr="00082474">
              <w:rPr>
                <w:rStyle w:val="Hyperlink"/>
                <w:noProof/>
              </w:rPr>
              <w:t>Preoperative Bowel Preparation</w:t>
            </w:r>
            <w:r w:rsidR="008A611F">
              <w:rPr>
                <w:noProof/>
                <w:webHidden/>
              </w:rPr>
              <w:tab/>
            </w:r>
            <w:r w:rsidR="008A611F">
              <w:rPr>
                <w:noProof/>
                <w:webHidden/>
              </w:rPr>
              <w:fldChar w:fldCharType="begin"/>
            </w:r>
            <w:r w:rsidR="008A611F">
              <w:rPr>
                <w:noProof/>
                <w:webHidden/>
              </w:rPr>
              <w:instrText xml:space="preserve"> PAGEREF _Toc117000793 \h </w:instrText>
            </w:r>
            <w:r w:rsidR="008A611F">
              <w:rPr>
                <w:noProof/>
                <w:webHidden/>
              </w:rPr>
            </w:r>
            <w:r w:rsidR="008A611F">
              <w:rPr>
                <w:noProof/>
                <w:webHidden/>
              </w:rPr>
              <w:fldChar w:fldCharType="separate"/>
            </w:r>
            <w:r w:rsidR="009C7C23">
              <w:rPr>
                <w:noProof/>
                <w:webHidden/>
              </w:rPr>
              <w:t>11</w:t>
            </w:r>
            <w:r w:rsidR="008A611F">
              <w:rPr>
                <w:noProof/>
                <w:webHidden/>
              </w:rPr>
              <w:fldChar w:fldCharType="end"/>
            </w:r>
          </w:hyperlink>
        </w:p>
        <w:p w14:paraId="34D02981" w14:textId="15830533" w:rsidR="008A611F" w:rsidRDefault="002570ED" w:rsidP="008776FB">
          <w:pPr>
            <w:pStyle w:val="TOC2"/>
            <w:tabs>
              <w:tab w:val="right" w:leader="dot" w:pos="10070"/>
            </w:tabs>
            <w:spacing w:after="0" w:line="240" w:lineRule="auto"/>
            <w:contextualSpacing/>
            <w:rPr>
              <w:rFonts w:eastAsiaTheme="minorEastAsia"/>
              <w:noProof/>
            </w:rPr>
          </w:pPr>
          <w:hyperlink w:anchor="_Toc117000794" w:history="1">
            <w:r w:rsidR="008A611F" w:rsidRPr="00082474">
              <w:rPr>
                <w:rStyle w:val="Hyperlink"/>
                <w:noProof/>
              </w:rPr>
              <w:t>Preoperative Bathing</w:t>
            </w:r>
            <w:r w:rsidR="008A611F">
              <w:rPr>
                <w:noProof/>
                <w:webHidden/>
              </w:rPr>
              <w:tab/>
            </w:r>
            <w:r w:rsidR="008A611F">
              <w:rPr>
                <w:noProof/>
                <w:webHidden/>
              </w:rPr>
              <w:fldChar w:fldCharType="begin"/>
            </w:r>
            <w:r w:rsidR="008A611F">
              <w:rPr>
                <w:noProof/>
                <w:webHidden/>
              </w:rPr>
              <w:instrText xml:space="preserve"> PAGEREF _Toc117000794 \h </w:instrText>
            </w:r>
            <w:r w:rsidR="008A611F">
              <w:rPr>
                <w:noProof/>
                <w:webHidden/>
              </w:rPr>
            </w:r>
            <w:r w:rsidR="008A611F">
              <w:rPr>
                <w:noProof/>
                <w:webHidden/>
              </w:rPr>
              <w:fldChar w:fldCharType="separate"/>
            </w:r>
            <w:r w:rsidR="009C7C23">
              <w:rPr>
                <w:noProof/>
                <w:webHidden/>
              </w:rPr>
              <w:t>12</w:t>
            </w:r>
            <w:r w:rsidR="008A611F">
              <w:rPr>
                <w:noProof/>
                <w:webHidden/>
              </w:rPr>
              <w:fldChar w:fldCharType="end"/>
            </w:r>
          </w:hyperlink>
        </w:p>
        <w:p w14:paraId="30D50937" w14:textId="4396F4A9" w:rsidR="008A611F" w:rsidRDefault="002570ED" w:rsidP="008776FB">
          <w:pPr>
            <w:pStyle w:val="TOC2"/>
            <w:tabs>
              <w:tab w:val="right" w:leader="dot" w:pos="10070"/>
            </w:tabs>
            <w:spacing w:after="0" w:line="240" w:lineRule="auto"/>
            <w:contextualSpacing/>
            <w:rPr>
              <w:rFonts w:eastAsiaTheme="minorEastAsia"/>
              <w:noProof/>
            </w:rPr>
          </w:pPr>
          <w:hyperlink w:anchor="_Toc117000795" w:history="1">
            <w:r w:rsidR="008A611F" w:rsidRPr="00082474">
              <w:rPr>
                <w:rStyle w:val="Hyperlink"/>
                <w:noProof/>
              </w:rPr>
              <w:t>Preoperative S. aureus Decolonization</w:t>
            </w:r>
            <w:r w:rsidR="008A611F">
              <w:rPr>
                <w:noProof/>
                <w:webHidden/>
              </w:rPr>
              <w:tab/>
            </w:r>
            <w:r w:rsidR="008A611F">
              <w:rPr>
                <w:noProof/>
                <w:webHidden/>
              </w:rPr>
              <w:fldChar w:fldCharType="begin"/>
            </w:r>
            <w:r w:rsidR="008A611F">
              <w:rPr>
                <w:noProof/>
                <w:webHidden/>
              </w:rPr>
              <w:instrText xml:space="preserve"> PAGEREF _Toc117000795 \h </w:instrText>
            </w:r>
            <w:r w:rsidR="008A611F">
              <w:rPr>
                <w:noProof/>
                <w:webHidden/>
              </w:rPr>
            </w:r>
            <w:r w:rsidR="008A611F">
              <w:rPr>
                <w:noProof/>
                <w:webHidden/>
              </w:rPr>
              <w:fldChar w:fldCharType="separate"/>
            </w:r>
            <w:r w:rsidR="009C7C23">
              <w:rPr>
                <w:noProof/>
                <w:webHidden/>
              </w:rPr>
              <w:t>13</w:t>
            </w:r>
            <w:r w:rsidR="008A611F">
              <w:rPr>
                <w:noProof/>
                <w:webHidden/>
              </w:rPr>
              <w:fldChar w:fldCharType="end"/>
            </w:r>
          </w:hyperlink>
        </w:p>
        <w:p w14:paraId="77CF442A" w14:textId="31EC60F2" w:rsidR="008A611F" w:rsidRDefault="002570ED" w:rsidP="008776FB">
          <w:pPr>
            <w:pStyle w:val="TOC2"/>
            <w:tabs>
              <w:tab w:val="right" w:leader="dot" w:pos="10070"/>
            </w:tabs>
            <w:spacing w:after="0" w:line="240" w:lineRule="auto"/>
            <w:contextualSpacing/>
            <w:rPr>
              <w:rFonts w:eastAsiaTheme="minorEastAsia"/>
              <w:noProof/>
            </w:rPr>
          </w:pPr>
          <w:hyperlink w:anchor="_Toc117000796" w:history="1">
            <w:r w:rsidR="008A611F" w:rsidRPr="00082474">
              <w:rPr>
                <w:rStyle w:val="Hyperlink"/>
                <w:noProof/>
              </w:rPr>
              <w:t>Preoperative Reduced Fasting</w:t>
            </w:r>
            <w:r w:rsidR="008A611F">
              <w:rPr>
                <w:noProof/>
                <w:webHidden/>
              </w:rPr>
              <w:tab/>
            </w:r>
            <w:r w:rsidR="008A611F">
              <w:rPr>
                <w:noProof/>
                <w:webHidden/>
              </w:rPr>
              <w:fldChar w:fldCharType="begin"/>
            </w:r>
            <w:r w:rsidR="008A611F">
              <w:rPr>
                <w:noProof/>
                <w:webHidden/>
              </w:rPr>
              <w:instrText xml:space="preserve"> PAGEREF _Toc117000796 \h </w:instrText>
            </w:r>
            <w:r w:rsidR="008A611F">
              <w:rPr>
                <w:noProof/>
                <w:webHidden/>
              </w:rPr>
            </w:r>
            <w:r w:rsidR="008A611F">
              <w:rPr>
                <w:noProof/>
                <w:webHidden/>
              </w:rPr>
              <w:fldChar w:fldCharType="separate"/>
            </w:r>
            <w:r w:rsidR="009C7C23">
              <w:rPr>
                <w:noProof/>
                <w:webHidden/>
              </w:rPr>
              <w:t>14</w:t>
            </w:r>
            <w:r w:rsidR="008A611F">
              <w:rPr>
                <w:noProof/>
                <w:webHidden/>
              </w:rPr>
              <w:fldChar w:fldCharType="end"/>
            </w:r>
          </w:hyperlink>
        </w:p>
        <w:p w14:paraId="65770082" w14:textId="319AD91E" w:rsidR="008A611F" w:rsidRDefault="002570ED" w:rsidP="008776FB">
          <w:pPr>
            <w:pStyle w:val="TOC2"/>
            <w:tabs>
              <w:tab w:val="right" w:leader="dot" w:pos="10070"/>
            </w:tabs>
            <w:spacing w:after="0" w:line="240" w:lineRule="auto"/>
            <w:contextualSpacing/>
            <w:rPr>
              <w:rFonts w:eastAsiaTheme="minorEastAsia"/>
              <w:noProof/>
            </w:rPr>
          </w:pPr>
          <w:hyperlink w:anchor="_Toc117000797" w:history="1">
            <w:r w:rsidR="008A611F" w:rsidRPr="00082474">
              <w:rPr>
                <w:rStyle w:val="Hyperlink"/>
                <w:noProof/>
              </w:rPr>
              <w:t>Preoperative Carbohydrate Loading</w:t>
            </w:r>
            <w:r w:rsidR="008A611F">
              <w:rPr>
                <w:noProof/>
                <w:webHidden/>
              </w:rPr>
              <w:tab/>
            </w:r>
            <w:r w:rsidR="008A611F">
              <w:rPr>
                <w:noProof/>
                <w:webHidden/>
              </w:rPr>
              <w:fldChar w:fldCharType="begin"/>
            </w:r>
            <w:r w:rsidR="008A611F">
              <w:rPr>
                <w:noProof/>
                <w:webHidden/>
              </w:rPr>
              <w:instrText xml:space="preserve"> PAGEREF _Toc117000797 \h </w:instrText>
            </w:r>
            <w:r w:rsidR="008A611F">
              <w:rPr>
                <w:noProof/>
                <w:webHidden/>
              </w:rPr>
            </w:r>
            <w:r w:rsidR="008A611F">
              <w:rPr>
                <w:noProof/>
                <w:webHidden/>
              </w:rPr>
              <w:fldChar w:fldCharType="separate"/>
            </w:r>
            <w:r w:rsidR="009C7C23">
              <w:rPr>
                <w:noProof/>
                <w:webHidden/>
              </w:rPr>
              <w:t>15</w:t>
            </w:r>
            <w:r w:rsidR="008A611F">
              <w:rPr>
                <w:noProof/>
                <w:webHidden/>
              </w:rPr>
              <w:fldChar w:fldCharType="end"/>
            </w:r>
          </w:hyperlink>
        </w:p>
        <w:p w14:paraId="215B61CE" w14:textId="068917CE" w:rsidR="008A611F" w:rsidRDefault="002570ED" w:rsidP="008776FB">
          <w:pPr>
            <w:pStyle w:val="TOC2"/>
            <w:tabs>
              <w:tab w:val="right" w:leader="dot" w:pos="10070"/>
            </w:tabs>
            <w:spacing w:after="0" w:line="240" w:lineRule="auto"/>
            <w:contextualSpacing/>
            <w:rPr>
              <w:rFonts w:eastAsiaTheme="minorEastAsia"/>
              <w:noProof/>
            </w:rPr>
          </w:pPr>
          <w:hyperlink w:anchor="_Toc117000798" w:history="1">
            <w:r w:rsidR="008A611F" w:rsidRPr="00082474">
              <w:rPr>
                <w:rStyle w:val="Hyperlink"/>
                <w:noProof/>
              </w:rPr>
              <w:t>Preoperative Glycemic Control</w:t>
            </w:r>
            <w:r w:rsidR="008A611F">
              <w:rPr>
                <w:noProof/>
                <w:webHidden/>
              </w:rPr>
              <w:tab/>
            </w:r>
            <w:r w:rsidR="008A611F">
              <w:rPr>
                <w:noProof/>
                <w:webHidden/>
              </w:rPr>
              <w:fldChar w:fldCharType="begin"/>
            </w:r>
            <w:r w:rsidR="008A611F">
              <w:rPr>
                <w:noProof/>
                <w:webHidden/>
              </w:rPr>
              <w:instrText xml:space="preserve"> PAGEREF _Toc117000798 \h </w:instrText>
            </w:r>
            <w:r w:rsidR="008A611F">
              <w:rPr>
                <w:noProof/>
                <w:webHidden/>
              </w:rPr>
            </w:r>
            <w:r w:rsidR="008A611F">
              <w:rPr>
                <w:noProof/>
                <w:webHidden/>
              </w:rPr>
              <w:fldChar w:fldCharType="separate"/>
            </w:r>
            <w:r w:rsidR="009C7C23">
              <w:rPr>
                <w:noProof/>
                <w:webHidden/>
              </w:rPr>
              <w:t>16</w:t>
            </w:r>
            <w:r w:rsidR="008A611F">
              <w:rPr>
                <w:noProof/>
                <w:webHidden/>
              </w:rPr>
              <w:fldChar w:fldCharType="end"/>
            </w:r>
          </w:hyperlink>
        </w:p>
        <w:p w14:paraId="49C3E8DD" w14:textId="59176E5F" w:rsidR="008A611F" w:rsidRDefault="002570ED" w:rsidP="008776FB">
          <w:pPr>
            <w:pStyle w:val="TOC2"/>
            <w:tabs>
              <w:tab w:val="right" w:leader="dot" w:pos="10070"/>
            </w:tabs>
            <w:spacing w:after="0" w:line="240" w:lineRule="auto"/>
            <w:contextualSpacing/>
            <w:rPr>
              <w:rFonts w:eastAsiaTheme="minorEastAsia"/>
              <w:noProof/>
            </w:rPr>
          </w:pPr>
          <w:hyperlink w:anchor="_Toc117000799" w:history="1">
            <w:r w:rsidR="008A611F" w:rsidRPr="00082474">
              <w:rPr>
                <w:rStyle w:val="Hyperlink"/>
                <w:noProof/>
              </w:rPr>
              <w:t>Preoperative Normothermia</w:t>
            </w:r>
            <w:r w:rsidR="008A611F">
              <w:rPr>
                <w:noProof/>
                <w:webHidden/>
              </w:rPr>
              <w:tab/>
            </w:r>
            <w:r w:rsidR="008A611F">
              <w:rPr>
                <w:noProof/>
                <w:webHidden/>
              </w:rPr>
              <w:fldChar w:fldCharType="begin"/>
            </w:r>
            <w:r w:rsidR="008A611F">
              <w:rPr>
                <w:noProof/>
                <w:webHidden/>
              </w:rPr>
              <w:instrText xml:space="preserve"> PAGEREF _Toc117000799 \h </w:instrText>
            </w:r>
            <w:r w:rsidR="008A611F">
              <w:rPr>
                <w:noProof/>
                <w:webHidden/>
              </w:rPr>
            </w:r>
            <w:r w:rsidR="008A611F">
              <w:rPr>
                <w:noProof/>
                <w:webHidden/>
              </w:rPr>
              <w:fldChar w:fldCharType="separate"/>
            </w:r>
            <w:r w:rsidR="009C7C23">
              <w:rPr>
                <w:noProof/>
                <w:webHidden/>
              </w:rPr>
              <w:t>17</w:t>
            </w:r>
            <w:r w:rsidR="008A611F">
              <w:rPr>
                <w:noProof/>
                <w:webHidden/>
              </w:rPr>
              <w:fldChar w:fldCharType="end"/>
            </w:r>
          </w:hyperlink>
        </w:p>
        <w:p w14:paraId="7BC935A2" w14:textId="79193AD2" w:rsidR="008A611F" w:rsidRDefault="002570ED" w:rsidP="008776FB">
          <w:pPr>
            <w:pStyle w:val="TOC2"/>
            <w:tabs>
              <w:tab w:val="right" w:leader="dot" w:pos="10070"/>
            </w:tabs>
            <w:spacing w:after="0" w:line="240" w:lineRule="auto"/>
            <w:contextualSpacing/>
            <w:rPr>
              <w:rFonts w:eastAsiaTheme="minorEastAsia"/>
              <w:noProof/>
            </w:rPr>
          </w:pPr>
          <w:hyperlink w:anchor="_Toc117000800" w:history="1">
            <w:r w:rsidR="008A611F" w:rsidRPr="00082474">
              <w:rPr>
                <w:rStyle w:val="Hyperlink"/>
                <w:noProof/>
              </w:rPr>
              <w:t>Preoperative Antibiotics</w:t>
            </w:r>
            <w:r w:rsidR="008A611F">
              <w:rPr>
                <w:noProof/>
                <w:webHidden/>
              </w:rPr>
              <w:tab/>
            </w:r>
            <w:r w:rsidR="008A611F">
              <w:rPr>
                <w:noProof/>
                <w:webHidden/>
              </w:rPr>
              <w:fldChar w:fldCharType="begin"/>
            </w:r>
            <w:r w:rsidR="008A611F">
              <w:rPr>
                <w:noProof/>
                <w:webHidden/>
              </w:rPr>
              <w:instrText xml:space="preserve"> PAGEREF _Toc117000800 \h </w:instrText>
            </w:r>
            <w:r w:rsidR="008A611F">
              <w:rPr>
                <w:noProof/>
                <w:webHidden/>
              </w:rPr>
            </w:r>
            <w:r w:rsidR="008A611F">
              <w:rPr>
                <w:noProof/>
                <w:webHidden/>
              </w:rPr>
              <w:fldChar w:fldCharType="separate"/>
            </w:r>
            <w:r w:rsidR="009C7C23">
              <w:rPr>
                <w:noProof/>
                <w:webHidden/>
              </w:rPr>
              <w:t>18</w:t>
            </w:r>
            <w:r w:rsidR="008A611F">
              <w:rPr>
                <w:noProof/>
                <w:webHidden/>
              </w:rPr>
              <w:fldChar w:fldCharType="end"/>
            </w:r>
          </w:hyperlink>
        </w:p>
        <w:p w14:paraId="711B6F66" w14:textId="7EDAD8E5" w:rsidR="008A611F" w:rsidRDefault="002570ED" w:rsidP="008776FB">
          <w:pPr>
            <w:pStyle w:val="TOC2"/>
            <w:tabs>
              <w:tab w:val="right" w:leader="dot" w:pos="10070"/>
            </w:tabs>
            <w:spacing w:after="0" w:line="240" w:lineRule="auto"/>
            <w:contextualSpacing/>
            <w:rPr>
              <w:rFonts w:eastAsiaTheme="minorEastAsia"/>
              <w:noProof/>
            </w:rPr>
          </w:pPr>
          <w:hyperlink w:anchor="_Toc117000801" w:history="1">
            <w:r w:rsidR="008A611F" w:rsidRPr="00082474">
              <w:rPr>
                <w:rStyle w:val="Hyperlink"/>
                <w:noProof/>
              </w:rPr>
              <w:t>Preoperative Multimodal Pain Management</w:t>
            </w:r>
            <w:r w:rsidR="008A611F">
              <w:rPr>
                <w:noProof/>
                <w:webHidden/>
              </w:rPr>
              <w:tab/>
            </w:r>
            <w:r w:rsidR="008A611F">
              <w:rPr>
                <w:noProof/>
                <w:webHidden/>
              </w:rPr>
              <w:fldChar w:fldCharType="begin"/>
            </w:r>
            <w:r w:rsidR="008A611F">
              <w:rPr>
                <w:noProof/>
                <w:webHidden/>
              </w:rPr>
              <w:instrText xml:space="preserve"> PAGEREF _Toc117000801 \h </w:instrText>
            </w:r>
            <w:r w:rsidR="008A611F">
              <w:rPr>
                <w:noProof/>
                <w:webHidden/>
              </w:rPr>
            </w:r>
            <w:r w:rsidR="008A611F">
              <w:rPr>
                <w:noProof/>
                <w:webHidden/>
              </w:rPr>
              <w:fldChar w:fldCharType="separate"/>
            </w:r>
            <w:r w:rsidR="009C7C23">
              <w:rPr>
                <w:noProof/>
                <w:webHidden/>
              </w:rPr>
              <w:t>19</w:t>
            </w:r>
            <w:r w:rsidR="008A611F">
              <w:rPr>
                <w:noProof/>
                <w:webHidden/>
              </w:rPr>
              <w:fldChar w:fldCharType="end"/>
            </w:r>
          </w:hyperlink>
        </w:p>
        <w:p w14:paraId="448D9D75" w14:textId="04CEFFD3" w:rsidR="008A611F" w:rsidRDefault="002570ED" w:rsidP="008776FB">
          <w:pPr>
            <w:pStyle w:val="TOC2"/>
            <w:tabs>
              <w:tab w:val="right" w:leader="dot" w:pos="10070"/>
            </w:tabs>
            <w:spacing w:after="0" w:line="240" w:lineRule="auto"/>
            <w:contextualSpacing/>
            <w:rPr>
              <w:rFonts w:eastAsiaTheme="minorEastAsia"/>
              <w:noProof/>
            </w:rPr>
          </w:pPr>
          <w:hyperlink w:anchor="_Toc117000802" w:history="1">
            <w:r w:rsidR="008A611F" w:rsidRPr="00082474">
              <w:rPr>
                <w:rStyle w:val="Hyperlink"/>
                <w:noProof/>
              </w:rPr>
              <w:t>Preoperative &amp; Intraoperative Anti-emetics and adjunct agents</w:t>
            </w:r>
            <w:r w:rsidR="008A611F">
              <w:rPr>
                <w:noProof/>
                <w:webHidden/>
              </w:rPr>
              <w:tab/>
            </w:r>
            <w:r w:rsidR="008A611F">
              <w:rPr>
                <w:noProof/>
                <w:webHidden/>
              </w:rPr>
              <w:fldChar w:fldCharType="begin"/>
            </w:r>
            <w:r w:rsidR="008A611F">
              <w:rPr>
                <w:noProof/>
                <w:webHidden/>
              </w:rPr>
              <w:instrText xml:space="preserve"> PAGEREF _Toc117000802 \h </w:instrText>
            </w:r>
            <w:r w:rsidR="008A611F">
              <w:rPr>
                <w:noProof/>
                <w:webHidden/>
              </w:rPr>
            </w:r>
            <w:r w:rsidR="008A611F">
              <w:rPr>
                <w:noProof/>
                <w:webHidden/>
              </w:rPr>
              <w:fldChar w:fldCharType="separate"/>
            </w:r>
            <w:r w:rsidR="009C7C23">
              <w:rPr>
                <w:noProof/>
                <w:webHidden/>
              </w:rPr>
              <w:t>20</w:t>
            </w:r>
            <w:r w:rsidR="008A611F">
              <w:rPr>
                <w:noProof/>
                <w:webHidden/>
              </w:rPr>
              <w:fldChar w:fldCharType="end"/>
            </w:r>
          </w:hyperlink>
        </w:p>
        <w:p w14:paraId="07DE5FA8" w14:textId="0EC17CAB" w:rsidR="008A611F" w:rsidRDefault="002570ED" w:rsidP="008776FB">
          <w:pPr>
            <w:pStyle w:val="TOC2"/>
            <w:tabs>
              <w:tab w:val="right" w:leader="dot" w:pos="10070"/>
            </w:tabs>
            <w:spacing w:after="0" w:line="240" w:lineRule="auto"/>
            <w:contextualSpacing/>
            <w:rPr>
              <w:rFonts w:eastAsiaTheme="minorEastAsia"/>
              <w:noProof/>
            </w:rPr>
          </w:pPr>
          <w:hyperlink w:anchor="_Toc117000803" w:history="1">
            <w:r w:rsidR="008A611F" w:rsidRPr="00082474">
              <w:rPr>
                <w:rStyle w:val="Hyperlink"/>
                <w:noProof/>
              </w:rPr>
              <w:t>Intraoperative Prophylactic Antibiotics</w:t>
            </w:r>
            <w:r w:rsidR="008A611F">
              <w:rPr>
                <w:noProof/>
                <w:webHidden/>
              </w:rPr>
              <w:tab/>
            </w:r>
            <w:r w:rsidR="008A611F">
              <w:rPr>
                <w:noProof/>
                <w:webHidden/>
              </w:rPr>
              <w:fldChar w:fldCharType="begin"/>
            </w:r>
            <w:r w:rsidR="008A611F">
              <w:rPr>
                <w:noProof/>
                <w:webHidden/>
              </w:rPr>
              <w:instrText xml:space="preserve"> PAGEREF _Toc117000803 \h </w:instrText>
            </w:r>
            <w:r w:rsidR="008A611F">
              <w:rPr>
                <w:noProof/>
                <w:webHidden/>
              </w:rPr>
            </w:r>
            <w:r w:rsidR="008A611F">
              <w:rPr>
                <w:noProof/>
                <w:webHidden/>
              </w:rPr>
              <w:fldChar w:fldCharType="separate"/>
            </w:r>
            <w:r w:rsidR="009C7C23">
              <w:rPr>
                <w:noProof/>
                <w:webHidden/>
              </w:rPr>
              <w:t>21</w:t>
            </w:r>
            <w:r w:rsidR="008A611F">
              <w:rPr>
                <w:noProof/>
                <w:webHidden/>
              </w:rPr>
              <w:fldChar w:fldCharType="end"/>
            </w:r>
          </w:hyperlink>
        </w:p>
        <w:p w14:paraId="790874D0" w14:textId="71093756" w:rsidR="008A611F" w:rsidRDefault="002570ED" w:rsidP="008776FB">
          <w:pPr>
            <w:pStyle w:val="TOC2"/>
            <w:tabs>
              <w:tab w:val="right" w:leader="dot" w:pos="10070"/>
            </w:tabs>
            <w:spacing w:after="0" w:line="240" w:lineRule="auto"/>
            <w:contextualSpacing/>
            <w:rPr>
              <w:rFonts w:eastAsiaTheme="minorEastAsia"/>
              <w:noProof/>
            </w:rPr>
          </w:pPr>
          <w:hyperlink w:anchor="_Toc117000804" w:history="1">
            <w:r w:rsidR="008A611F" w:rsidRPr="00082474">
              <w:rPr>
                <w:rStyle w:val="Hyperlink"/>
                <w:noProof/>
              </w:rPr>
              <w:t>Intraoperative Skin Preparation</w:t>
            </w:r>
            <w:r w:rsidR="008A611F">
              <w:rPr>
                <w:noProof/>
                <w:webHidden/>
              </w:rPr>
              <w:tab/>
            </w:r>
            <w:r w:rsidR="008A611F">
              <w:rPr>
                <w:noProof/>
                <w:webHidden/>
              </w:rPr>
              <w:fldChar w:fldCharType="begin"/>
            </w:r>
            <w:r w:rsidR="008A611F">
              <w:rPr>
                <w:noProof/>
                <w:webHidden/>
              </w:rPr>
              <w:instrText xml:space="preserve"> PAGEREF _Toc117000804 \h </w:instrText>
            </w:r>
            <w:r w:rsidR="008A611F">
              <w:rPr>
                <w:noProof/>
                <w:webHidden/>
              </w:rPr>
            </w:r>
            <w:r w:rsidR="008A611F">
              <w:rPr>
                <w:noProof/>
                <w:webHidden/>
              </w:rPr>
              <w:fldChar w:fldCharType="separate"/>
            </w:r>
            <w:r w:rsidR="009C7C23">
              <w:rPr>
                <w:noProof/>
                <w:webHidden/>
              </w:rPr>
              <w:t>22</w:t>
            </w:r>
            <w:r w:rsidR="008A611F">
              <w:rPr>
                <w:noProof/>
                <w:webHidden/>
              </w:rPr>
              <w:fldChar w:fldCharType="end"/>
            </w:r>
          </w:hyperlink>
        </w:p>
        <w:p w14:paraId="54764606" w14:textId="6EF1D0D9" w:rsidR="008A611F" w:rsidRDefault="002570ED" w:rsidP="008776FB">
          <w:pPr>
            <w:pStyle w:val="TOC2"/>
            <w:tabs>
              <w:tab w:val="right" w:leader="dot" w:pos="10070"/>
            </w:tabs>
            <w:spacing w:after="0" w:line="240" w:lineRule="auto"/>
            <w:contextualSpacing/>
            <w:rPr>
              <w:rFonts w:eastAsiaTheme="minorEastAsia"/>
              <w:noProof/>
            </w:rPr>
          </w:pPr>
          <w:hyperlink w:anchor="_Toc117000805" w:history="1">
            <w:r w:rsidR="008A611F" w:rsidRPr="00082474">
              <w:rPr>
                <w:rStyle w:val="Hyperlink"/>
                <w:noProof/>
              </w:rPr>
              <w:t>Intraoperative Anesthesia</w:t>
            </w:r>
            <w:r w:rsidR="008A611F">
              <w:rPr>
                <w:noProof/>
                <w:webHidden/>
              </w:rPr>
              <w:tab/>
            </w:r>
            <w:r w:rsidR="008A611F">
              <w:rPr>
                <w:noProof/>
                <w:webHidden/>
              </w:rPr>
              <w:fldChar w:fldCharType="begin"/>
            </w:r>
            <w:r w:rsidR="008A611F">
              <w:rPr>
                <w:noProof/>
                <w:webHidden/>
              </w:rPr>
              <w:instrText xml:space="preserve"> PAGEREF _Toc117000805 \h </w:instrText>
            </w:r>
            <w:r w:rsidR="008A611F">
              <w:rPr>
                <w:noProof/>
                <w:webHidden/>
              </w:rPr>
            </w:r>
            <w:r w:rsidR="008A611F">
              <w:rPr>
                <w:noProof/>
                <w:webHidden/>
              </w:rPr>
              <w:fldChar w:fldCharType="separate"/>
            </w:r>
            <w:r w:rsidR="009C7C23">
              <w:rPr>
                <w:noProof/>
                <w:webHidden/>
              </w:rPr>
              <w:t>23</w:t>
            </w:r>
            <w:r w:rsidR="008A611F">
              <w:rPr>
                <w:noProof/>
                <w:webHidden/>
              </w:rPr>
              <w:fldChar w:fldCharType="end"/>
            </w:r>
          </w:hyperlink>
        </w:p>
        <w:p w14:paraId="586934C3" w14:textId="736BCDBC" w:rsidR="008A611F" w:rsidRDefault="002570ED" w:rsidP="008776FB">
          <w:pPr>
            <w:pStyle w:val="TOC2"/>
            <w:tabs>
              <w:tab w:val="right" w:leader="dot" w:pos="10070"/>
            </w:tabs>
            <w:spacing w:after="0" w:line="240" w:lineRule="auto"/>
            <w:contextualSpacing/>
            <w:rPr>
              <w:rFonts w:eastAsiaTheme="minorEastAsia"/>
              <w:noProof/>
            </w:rPr>
          </w:pPr>
          <w:hyperlink w:anchor="_Toc117000806" w:history="1">
            <w:r w:rsidR="008A611F" w:rsidRPr="00082474">
              <w:rPr>
                <w:rStyle w:val="Hyperlink"/>
                <w:noProof/>
              </w:rPr>
              <w:t>Intraoperative Tranexamic Acid</w:t>
            </w:r>
            <w:r w:rsidR="008A611F">
              <w:rPr>
                <w:noProof/>
                <w:webHidden/>
              </w:rPr>
              <w:tab/>
            </w:r>
            <w:r w:rsidR="008A611F">
              <w:rPr>
                <w:noProof/>
                <w:webHidden/>
              </w:rPr>
              <w:fldChar w:fldCharType="begin"/>
            </w:r>
            <w:r w:rsidR="008A611F">
              <w:rPr>
                <w:noProof/>
                <w:webHidden/>
              </w:rPr>
              <w:instrText xml:space="preserve"> PAGEREF _Toc117000806 \h </w:instrText>
            </w:r>
            <w:r w:rsidR="008A611F">
              <w:rPr>
                <w:noProof/>
                <w:webHidden/>
              </w:rPr>
            </w:r>
            <w:r w:rsidR="008A611F">
              <w:rPr>
                <w:noProof/>
                <w:webHidden/>
              </w:rPr>
              <w:fldChar w:fldCharType="separate"/>
            </w:r>
            <w:r w:rsidR="009C7C23">
              <w:rPr>
                <w:noProof/>
                <w:webHidden/>
              </w:rPr>
              <w:t>25</w:t>
            </w:r>
            <w:r w:rsidR="008A611F">
              <w:rPr>
                <w:noProof/>
                <w:webHidden/>
              </w:rPr>
              <w:fldChar w:fldCharType="end"/>
            </w:r>
          </w:hyperlink>
        </w:p>
        <w:p w14:paraId="5719FBD9" w14:textId="79ED70E4" w:rsidR="008A611F" w:rsidRDefault="002570ED" w:rsidP="008776FB">
          <w:pPr>
            <w:pStyle w:val="TOC2"/>
            <w:tabs>
              <w:tab w:val="right" w:leader="dot" w:pos="10070"/>
            </w:tabs>
            <w:spacing w:after="0" w:line="240" w:lineRule="auto"/>
            <w:contextualSpacing/>
            <w:rPr>
              <w:rFonts w:eastAsiaTheme="minorEastAsia"/>
              <w:noProof/>
            </w:rPr>
          </w:pPr>
          <w:hyperlink w:anchor="_Toc117000807" w:history="1">
            <w:r w:rsidR="008A611F" w:rsidRPr="00082474">
              <w:rPr>
                <w:rStyle w:val="Hyperlink"/>
                <w:noProof/>
              </w:rPr>
              <w:t>Intraoperative Blood Transfusion</w:t>
            </w:r>
            <w:r w:rsidR="008A611F">
              <w:rPr>
                <w:noProof/>
                <w:webHidden/>
              </w:rPr>
              <w:tab/>
            </w:r>
            <w:r w:rsidR="008A611F">
              <w:rPr>
                <w:noProof/>
                <w:webHidden/>
              </w:rPr>
              <w:fldChar w:fldCharType="begin"/>
            </w:r>
            <w:r w:rsidR="008A611F">
              <w:rPr>
                <w:noProof/>
                <w:webHidden/>
              </w:rPr>
              <w:instrText xml:space="preserve"> PAGEREF _Toc117000807 \h </w:instrText>
            </w:r>
            <w:r w:rsidR="008A611F">
              <w:rPr>
                <w:noProof/>
                <w:webHidden/>
              </w:rPr>
            </w:r>
            <w:r w:rsidR="008A611F">
              <w:rPr>
                <w:noProof/>
                <w:webHidden/>
              </w:rPr>
              <w:fldChar w:fldCharType="separate"/>
            </w:r>
            <w:r w:rsidR="009C7C23">
              <w:rPr>
                <w:noProof/>
                <w:webHidden/>
              </w:rPr>
              <w:t>26</w:t>
            </w:r>
            <w:r w:rsidR="008A611F">
              <w:rPr>
                <w:noProof/>
                <w:webHidden/>
              </w:rPr>
              <w:fldChar w:fldCharType="end"/>
            </w:r>
          </w:hyperlink>
        </w:p>
        <w:p w14:paraId="1ADF99F6" w14:textId="7C5BDE47" w:rsidR="008A611F" w:rsidRDefault="002570ED" w:rsidP="008776FB">
          <w:pPr>
            <w:pStyle w:val="TOC2"/>
            <w:tabs>
              <w:tab w:val="right" w:leader="dot" w:pos="10070"/>
            </w:tabs>
            <w:spacing w:after="0" w:line="240" w:lineRule="auto"/>
            <w:contextualSpacing/>
            <w:rPr>
              <w:rFonts w:eastAsiaTheme="minorEastAsia"/>
              <w:noProof/>
            </w:rPr>
          </w:pPr>
          <w:hyperlink w:anchor="_Toc117000808" w:history="1">
            <w:r w:rsidR="008A611F" w:rsidRPr="00082474">
              <w:rPr>
                <w:rStyle w:val="Hyperlink"/>
                <w:noProof/>
              </w:rPr>
              <w:t>Intraoperative Ventilation</w:t>
            </w:r>
            <w:r w:rsidR="008A611F">
              <w:rPr>
                <w:noProof/>
                <w:webHidden/>
              </w:rPr>
              <w:tab/>
            </w:r>
            <w:r w:rsidR="008A611F">
              <w:rPr>
                <w:noProof/>
                <w:webHidden/>
              </w:rPr>
              <w:fldChar w:fldCharType="begin"/>
            </w:r>
            <w:r w:rsidR="008A611F">
              <w:rPr>
                <w:noProof/>
                <w:webHidden/>
              </w:rPr>
              <w:instrText xml:space="preserve"> PAGEREF _Toc117000808 \h </w:instrText>
            </w:r>
            <w:r w:rsidR="008A611F">
              <w:rPr>
                <w:noProof/>
                <w:webHidden/>
              </w:rPr>
            </w:r>
            <w:r w:rsidR="008A611F">
              <w:rPr>
                <w:noProof/>
                <w:webHidden/>
              </w:rPr>
              <w:fldChar w:fldCharType="separate"/>
            </w:r>
            <w:r w:rsidR="009C7C23">
              <w:rPr>
                <w:noProof/>
                <w:webHidden/>
              </w:rPr>
              <w:t>27</w:t>
            </w:r>
            <w:r w:rsidR="008A611F">
              <w:rPr>
                <w:noProof/>
                <w:webHidden/>
              </w:rPr>
              <w:fldChar w:fldCharType="end"/>
            </w:r>
          </w:hyperlink>
        </w:p>
        <w:p w14:paraId="0F223BF3" w14:textId="3669F541" w:rsidR="008A611F" w:rsidRDefault="002570ED" w:rsidP="008776FB">
          <w:pPr>
            <w:pStyle w:val="TOC2"/>
            <w:tabs>
              <w:tab w:val="right" w:leader="dot" w:pos="10070"/>
            </w:tabs>
            <w:spacing w:after="0" w:line="240" w:lineRule="auto"/>
            <w:contextualSpacing/>
            <w:rPr>
              <w:rFonts w:eastAsiaTheme="minorEastAsia"/>
              <w:noProof/>
            </w:rPr>
          </w:pPr>
          <w:hyperlink w:anchor="_Toc117000809" w:history="1">
            <w:r w:rsidR="008A611F" w:rsidRPr="00082474">
              <w:rPr>
                <w:rStyle w:val="Hyperlink"/>
                <w:noProof/>
              </w:rPr>
              <w:t>Intraoperative Normothermia</w:t>
            </w:r>
            <w:r w:rsidR="008A611F">
              <w:rPr>
                <w:noProof/>
                <w:webHidden/>
              </w:rPr>
              <w:tab/>
            </w:r>
            <w:r w:rsidR="008A611F">
              <w:rPr>
                <w:noProof/>
                <w:webHidden/>
              </w:rPr>
              <w:fldChar w:fldCharType="begin"/>
            </w:r>
            <w:r w:rsidR="008A611F">
              <w:rPr>
                <w:noProof/>
                <w:webHidden/>
              </w:rPr>
              <w:instrText xml:space="preserve"> PAGEREF _Toc117000809 \h </w:instrText>
            </w:r>
            <w:r w:rsidR="008A611F">
              <w:rPr>
                <w:noProof/>
                <w:webHidden/>
              </w:rPr>
            </w:r>
            <w:r w:rsidR="008A611F">
              <w:rPr>
                <w:noProof/>
                <w:webHidden/>
              </w:rPr>
              <w:fldChar w:fldCharType="separate"/>
            </w:r>
            <w:r w:rsidR="009C7C23">
              <w:rPr>
                <w:noProof/>
                <w:webHidden/>
              </w:rPr>
              <w:t>28</w:t>
            </w:r>
            <w:r w:rsidR="008A611F">
              <w:rPr>
                <w:noProof/>
                <w:webHidden/>
              </w:rPr>
              <w:fldChar w:fldCharType="end"/>
            </w:r>
          </w:hyperlink>
        </w:p>
        <w:p w14:paraId="2F629AFE" w14:textId="1D795BD7" w:rsidR="008A611F" w:rsidRDefault="002570ED" w:rsidP="008776FB">
          <w:pPr>
            <w:pStyle w:val="TOC2"/>
            <w:tabs>
              <w:tab w:val="right" w:leader="dot" w:pos="10070"/>
            </w:tabs>
            <w:spacing w:after="0" w:line="240" w:lineRule="auto"/>
            <w:contextualSpacing/>
            <w:rPr>
              <w:rFonts w:eastAsiaTheme="minorEastAsia"/>
              <w:noProof/>
            </w:rPr>
          </w:pPr>
          <w:hyperlink w:anchor="_Toc117000810" w:history="1">
            <w:r w:rsidR="008A611F" w:rsidRPr="00082474">
              <w:rPr>
                <w:rStyle w:val="Hyperlink"/>
                <w:noProof/>
              </w:rPr>
              <w:t>Intraoperative Euvolemia</w:t>
            </w:r>
            <w:r w:rsidR="008A611F">
              <w:rPr>
                <w:noProof/>
                <w:webHidden/>
              </w:rPr>
              <w:tab/>
            </w:r>
            <w:r w:rsidR="008A611F">
              <w:rPr>
                <w:noProof/>
                <w:webHidden/>
              </w:rPr>
              <w:fldChar w:fldCharType="begin"/>
            </w:r>
            <w:r w:rsidR="008A611F">
              <w:rPr>
                <w:noProof/>
                <w:webHidden/>
              </w:rPr>
              <w:instrText xml:space="preserve"> PAGEREF _Toc117000810 \h </w:instrText>
            </w:r>
            <w:r w:rsidR="008A611F">
              <w:rPr>
                <w:noProof/>
                <w:webHidden/>
              </w:rPr>
            </w:r>
            <w:r w:rsidR="008A611F">
              <w:rPr>
                <w:noProof/>
                <w:webHidden/>
              </w:rPr>
              <w:fldChar w:fldCharType="separate"/>
            </w:r>
            <w:r w:rsidR="009C7C23">
              <w:rPr>
                <w:noProof/>
                <w:webHidden/>
              </w:rPr>
              <w:t>29</w:t>
            </w:r>
            <w:r w:rsidR="008A611F">
              <w:rPr>
                <w:noProof/>
                <w:webHidden/>
              </w:rPr>
              <w:fldChar w:fldCharType="end"/>
            </w:r>
          </w:hyperlink>
        </w:p>
        <w:p w14:paraId="74E0C136" w14:textId="33051747" w:rsidR="008A611F" w:rsidRDefault="002570ED" w:rsidP="008776FB">
          <w:pPr>
            <w:pStyle w:val="TOC2"/>
            <w:tabs>
              <w:tab w:val="right" w:leader="dot" w:pos="10070"/>
            </w:tabs>
            <w:spacing w:after="0" w:line="240" w:lineRule="auto"/>
            <w:contextualSpacing/>
            <w:rPr>
              <w:rFonts w:eastAsiaTheme="minorEastAsia"/>
              <w:noProof/>
            </w:rPr>
          </w:pPr>
          <w:hyperlink w:anchor="_Toc117000811" w:history="1">
            <w:r w:rsidR="008A611F" w:rsidRPr="00082474">
              <w:rPr>
                <w:rStyle w:val="Hyperlink"/>
                <w:noProof/>
              </w:rPr>
              <w:t>Intraoperative Wound Protector Use</w:t>
            </w:r>
            <w:r w:rsidR="008A611F">
              <w:rPr>
                <w:noProof/>
                <w:webHidden/>
              </w:rPr>
              <w:tab/>
            </w:r>
            <w:r w:rsidR="008A611F">
              <w:rPr>
                <w:noProof/>
                <w:webHidden/>
              </w:rPr>
              <w:fldChar w:fldCharType="begin"/>
            </w:r>
            <w:r w:rsidR="008A611F">
              <w:rPr>
                <w:noProof/>
                <w:webHidden/>
              </w:rPr>
              <w:instrText xml:space="preserve"> PAGEREF _Toc117000811 \h </w:instrText>
            </w:r>
            <w:r w:rsidR="008A611F">
              <w:rPr>
                <w:noProof/>
                <w:webHidden/>
              </w:rPr>
            </w:r>
            <w:r w:rsidR="008A611F">
              <w:rPr>
                <w:noProof/>
                <w:webHidden/>
              </w:rPr>
              <w:fldChar w:fldCharType="separate"/>
            </w:r>
            <w:r w:rsidR="009C7C23">
              <w:rPr>
                <w:noProof/>
                <w:webHidden/>
              </w:rPr>
              <w:t>30</w:t>
            </w:r>
            <w:r w:rsidR="008A611F">
              <w:rPr>
                <w:noProof/>
                <w:webHidden/>
              </w:rPr>
              <w:fldChar w:fldCharType="end"/>
            </w:r>
          </w:hyperlink>
        </w:p>
        <w:p w14:paraId="6D6124A2" w14:textId="667C850D" w:rsidR="008A611F" w:rsidRDefault="002570ED" w:rsidP="008776FB">
          <w:pPr>
            <w:pStyle w:val="TOC2"/>
            <w:tabs>
              <w:tab w:val="right" w:leader="dot" w:pos="10070"/>
            </w:tabs>
            <w:spacing w:after="0" w:line="240" w:lineRule="auto"/>
            <w:contextualSpacing/>
            <w:rPr>
              <w:rFonts w:eastAsiaTheme="minorEastAsia"/>
              <w:noProof/>
            </w:rPr>
          </w:pPr>
          <w:hyperlink w:anchor="_Toc117000812" w:history="1">
            <w:r w:rsidR="008A611F" w:rsidRPr="00082474">
              <w:rPr>
                <w:rStyle w:val="Hyperlink"/>
                <w:noProof/>
              </w:rPr>
              <w:t>Intraoperative Avoidance of Tubes and Drains</w:t>
            </w:r>
            <w:r w:rsidR="008A611F">
              <w:rPr>
                <w:noProof/>
                <w:webHidden/>
              </w:rPr>
              <w:tab/>
            </w:r>
            <w:r w:rsidR="008A611F">
              <w:rPr>
                <w:noProof/>
                <w:webHidden/>
              </w:rPr>
              <w:fldChar w:fldCharType="begin"/>
            </w:r>
            <w:r w:rsidR="008A611F">
              <w:rPr>
                <w:noProof/>
                <w:webHidden/>
              </w:rPr>
              <w:instrText xml:space="preserve"> PAGEREF _Toc117000812 \h </w:instrText>
            </w:r>
            <w:r w:rsidR="008A611F">
              <w:rPr>
                <w:noProof/>
                <w:webHidden/>
              </w:rPr>
            </w:r>
            <w:r w:rsidR="008A611F">
              <w:rPr>
                <w:noProof/>
                <w:webHidden/>
              </w:rPr>
              <w:fldChar w:fldCharType="separate"/>
            </w:r>
            <w:r w:rsidR="009C7C23">
              <w:rPr>
                <w:noProof/>
                <w:webHidden/>
              </w:rPr>
              <w:t>31</w:t>
            </w:r>
            <w:r w:rsidR="008A611F">
              <w:rPr>
                <w:noProof/>
                <w:webHidden/>
              </w:rPr>
              <w:fldChar w:fldCharType="end"/>
            </w:r>
          </w:hyperlink>
        </w:p>
        <w:p w14:paraId="42C749F8" w14:textId="3E1120D3" w:rsidR="008A611F" w:rsidRDefault="002570ED" w:rsidP="008776FB">
          <w:pPr>
            <w:pStyle w:val="TOC2"/>
            <w:tabs>
              <w:tab w:val="right" w:leader="dot" w:pos="10070"/>
            </w:tabs>
            <w:spacing w:after="0" w:line="240" w:lineRule="auto"/>
            <w:contextualSpacing/>
            <w:rPr>
              <w:rFonts w:eastAsiaTheme="minorEastAsia"/>
              <w:noProof/>
            </w:rPr>
          </w:pPr>
          <w:hyperlink w:anchor="_Toc117000813" w:history="1">
            <w:r w:rsidR="008A611F" w:rsidRPr="00082474">
              <w:rPr>
                <w:rStyle w:val="Hyperlink"/>
                <w:noProof/>
              </w:rPr>
              <w:t>Intraoperative Urinary Catheter Insertion</w:t>
            </w:r>
            <w:r w:rsidR="008A611F">
              <w:rPr>
                <w:noProof/>
                <w:webHidden/>
              </w:rPr>
              <w:tab/>
            </w:r>
            <w:r w:rsidR="008A611F">
              <w:rPr>
                <w:noProof/>
                <w:webHidden/>
              </w:rPr>
              <w:fldChar w:fldCharType="begin"/>
            </w:r>
            <w:r w:rsidR="008A611F">
              <w:rPr>
                <w:noProof/>
                <w:webHidden/>
              </w:rPr>
              <w:instrText xml:space="preserve"> PAGEREF _Toc117000813 \h </w:instrText>
            </w:r>
            <w:r w:rsidR="008A611F">
              <w:rPr>
                <w:noProof/>
                <w:webHidden/>
              </w:rPr>
            </w:r>
            <w:r w:rsidR="008A611F">
              <w:rPr>
                <w:noProof/>
                <w:webHidden/>
              </w:rPr>
              <w:fldChar w:fldCharType="separate"/>
            </w:r>
            <w:r w:rsidR="009C7C23">
              <w:rPr>
                <w:noProof/>
                <w:webHidden/>
              </w:rPr>
              <w:t>32</w:t>
            </w:r>
            <w:r w:rsidR="008A611F">
              <w:rPr>
                <w:noProof/>
                <w:webHidden/>
              </w:rPr>
              <w:fldChar w:fldCharType="end"/>
            </w:r>
          </w:hyperlink>
        </w:p>
        <w:p w14:paraId="726D9751" w14:textId="66039E20" w:rsidR="008A611F" w:rsidRDefault="002570ED" w:rsidP="008776FB">
          <w:pPr>
            <w:pStyle w:val="TOC2"/>
            <w:tabs>
              <w:tab w:val="right" w:leader="dot" w:pos="10070"/>
            </w:tabs>
            <w:spacing w:after="0" w:line="240" w:lineRule="auto"/>
            <w:contextualSpacing/>
            <w:rPr>
              <w:rFonts w:eastAsiaTheme="minorEastAsia"/>
              <w:noProof/>
            </w:rPr>
          </w:pPr>
          <w:hyperlink w:anchor="_Toc117000814" w:history="1">
            <w:r w:rsidR="008A611F" w:rsidRPr="00082474">
              <w:rPr>
                <w:rStyle w:val="Hyperlink"/>
                <w:noProof/>
              </w:rPr>
              <w:t>Intraoperative Intra-articular, Local Infiltration and Peri-articular Injection</w:t>
            </w:r>
            <w:r w:rsidR="008A611F">
              <w:rPr>
                <w:noProof/>
                <w:webHidden/>
              </w:rPr>
              <w:tab/>
            </w:r>
            <w:r w:rsidR="008A611F">
              <w:rPr>
                <w:noProof/>
                <w:webHidden/>
              </w:rPr>
              <w:fldChar w:fldCharType="begin"/>
            </w:r>
            <w:r w:rsidR="008A611F">
              <w:rPr>
                <w:noProof/>
                <w:webHidden/>
              </w:rPr>
              <w:instrText xml:space="preserve"> PAGEREF _Toc117000814 \h </w:instrText>
            </w:r>
            <w:r w:rsidR="008A611F">
              <w:rPr>
                <w:noProof/>
                <w:webHidden/>
              </w:rPr>
            </w:r>
            <w:r w:rsidR="008A611F">
              <w:rPr>
                <w:noProof/>
                <w:webHidden/>
              </w:rPr>
              <w:fldChar w:fldCharType="separate"/>
            </w:r>
            <w:r w:rsidR="009C7C23">
              <w:rPr>
                <w:noProof/>
                <w:webHidden/>
              </w:rPr>
              <w:t>33</w:t>
            </w:r>
            <w:r w:rsidR="008A611F">
              <w:rPr>
                <w:noProof/>
                <w:webHidden/>
              </w:rPr>
              <w:fldChar w:fldCharType="end"/>
            </w:r>
          </w:hyperlink>
        </w:p>
        <w:p w14:paraId="7152F1AA" w14:textId="1EFFECE9" w:rsidR="008A611F" w:rsidRDefault="002570ED" w:rsidP="008776FB">
          <w:pPr>
            <w:pStyle w:val="TOC2"/>
            <w:tabs>
              <w:tab w:val="right" w:leader="dot" w:pos="10070"/>
            </w:tabs>
            <w:spacing w:after="0" w:line="240" w:lineRule="auto"/>
            <w:contextualSpacing/>
            <w:rPr>
              <w:rFonts w:eastAsiaTheme="minorEastAsia"/>
              <w:noProof/>
            </w:rPr>
          </w:pPr>
          <w:hyperlink w:anchor="_Toc117000815" w:history="1">
            <w:r w:rsidR="008A611F" w:rsidRPr="00082474">
              <w:rPr>
                <w:rStyle w:val="Hyperlink"/>
                <w:noProof/>
              </w:rPr>
              <w:t>Postoperative VTE Prophylaxis</w:t>
            </w:r>
            <w:r w:rsidR="008A611F">
              <w:rPr>
                <w:noProof/>
                <w:webHidden/>
              </w:rPr>
              <w:tab/>
            </w:r>
            <w:r w:rsidR="008A611F">
              <w:rPr>
                <w:noProof/>
                <w:webHidden/>
              </w:rPr>
              <w:fldChar w:fldCharType="begin"/>
            </w:r>
            <w:r w:rsidR="008A611F">
              <w:rPr>
                <w:noProof/>
                <w:webHidden/>
              </w:rPr>
              <w:instrText xml:space="preserve"> PAGEREF _Toc117000815 \h </w:instrText>
            </w:r>
            <w:r w:rsidR="008A611F">
              <w:rPr>
                <w:noProof/>
                <w:webHidden/>
              </w:rPr>
            </w:r>
            <w:r w:rsidR="008A611F">
              <w:rPr>
                <w:noProof/>
                <w:webHidden/>
              </w:rPr>
              <w:fldChar w:fldCharType="separate"/>
            </w:r>
            <w:r w:rsidR="009C7C23">
              <w:rPr>
                <w:noProof/>
                <w:webHidden/>
              </w:rPr>
              <w:t>34</w:t>
            </w:r>
            <w:r w:rsidR="008A611F">
              <w:rPr>
                <w:noProof/>
                <w:webHidden/>
              </w:rPr>
              <w:fldChar w:fldCharType="end"/>
            </w:r>
          </w:hyperlink>
        </w:p>
        <w:p w14:paraId="160DEEB0" w14:textId="124DE427" w:rsidR="008A611F" w:rsidRDefault="002570ED" w:rsidP="008776FB">
          <w:pPr>
            <w:pStyle w:val="TOC2"/>
            <w:tabs>
              <w:tab w:val="right" w:leader="dot" w:pos="10070"/>
            </w:tabs>
            <w:spacing w:after="0" w:line="240" w:lineRule="auto"/>
            <w:contextualSpacing/>
            <w:rPr>
              <w:rFonts w:eastAsiaTheme="minorEastAsia"/>
              <w:noProof/>
            </w:rPr>
          </w:pPr>
          <w:hyperlink w:anchor="_Toc117000816" w:history="1">
            <w:r w:rsidR="008A611F" w:rsidRPr="00082474">
              <w:rPr>
                <w:rStyle w:val="Hyperlink"/>
                <w:noProof/>
              </w:rPr>
              <w:t>Postoperative Multimodal Pain Management</w:t>
            </w:r>
            <w:r w:rsidR="008A611F">
              <w:rPr>
                <w:noProof/>
                <w:webHidden/>
              </w:rPr>
              <w:tab/>
            </w:r>
            <w:r w:rsidR="008A611F">
              <w:rPr>
                <w:noProof/>
                <w:webHidden/>
              </w:rPr>
              <w:fldChar w:fldCharType="begin"/>
            </w:r>
            <w:r w:rsidR="008A611F">
              <w:rPr>
                <w:noProof/>
                <w:webHidden/>
              </w:rPr>
              <w:instrText xml:space="preserve"> PAGEREF _Toc117000816 \h </w:instrText>
            </w:r>
            <w:r w:rsidR="008A611F">
              <w:rPr>
                <w:noProof/>
                <w:webHidden/>
              </w:rPr>
            </w:r>
            <w:r w:rsidR="008A611F">
              <w:rPr>
                <w:noProof/>
                <w:webHidden/>
              </w:rPr>
              <w:fldChar w:fldCharType="separate"/>
            </w:r>
            <w:r w:rsidR="009C7C23">
              <w:rPr>
                <w:noProof/>
                <w:webHidden/>
              </w:rPr>
              <w:t>35</w:t>
            </w:r>
            <w:r w:rsidR="008A611F">
              <w:rPr>
                <w:noProof/>
                <w:webHidden/>
              </w:rPr>
              <w:fldChar w:fldCharType="end"/>
            </w:r>
          </w:hyperlink>
        </w:p>
        <w:p w14:paraId="2F8A8704" w14:textId="645B7AFF" w:rsidR="008A611F" w:rsidRDefault="002570ED" w:rsidP="008776FB">
          <w:pPr>
            <w:pStyle w:val="TOC2"/>
            <w:tabs>
              <w:tab w:val="right" w:leader="dot" w:pos="10070"/>
            </w:tabs>
            <w:spacing w:after="0" w:line="240" w:lineRule="auto"/>
            <w:contextualSpacing/>
            <w:rPr>
              <w:rFonts w:eastAsiaTheme="minorEastAsia"/>
              <w:noProof/>
            </w:rPr>
          </w:pPr>
          <w:hyperlink w:anchor="_Toc117000817" w:history="1">
            <w:r w:rsidR="008A611F" w:rsidRPr="00082474">
              <w:rPr>
                <w:rStyle w:val="Hyperlink"/>
                <w:noProof/>
              </w:rPr>
              <w:t>Postoperative Early Alimentation</w:t>
            </w:r>
            <w:r w:rsidR="008A611F">
              <w:rPr>
                <w:noProof/>
                <w:webHidden/>
              </w:rPr>
              <w:tab/>
            </w:r>
            <w:r w:rsidR="008A611F">
              <w:rPr>
                <w:noProof/>
                <w:webHidden/>
              </w:rPr>
              <w:fldChar w:fldCharType="begin"/>
            </w:r>
            <w:r w:rsidR="008A611F">
              <w:rPr>
                <w:noProof/>
                <w:webHidden/>
              </w:rPr>
              <w:instrText xml:space="preserve"> PAGEREF _Toc117000817 \h </w:instrText>
            </w:r>
            <w:r w:rsidR="008A611F">
              <w:rPr>
                <w:noProof/>
                <w:webHidden/>
              </w:rPr>
            </w:r>
            <w:r w:rsidR="008A611F">
              <w:rPr>
                <w:noProof/>
                <w:webHidden/>
              </w:rPr>
              <w:fldChar w:fldCharType="separate"/>
            </w:r>
            <w:r w:rsidR="009C7C23">
              <w:rPr>
                <w:noProof/>
                <w:webHidden/>
              </w:rPr>
              <w:t>36</w:t>
            </w:r>
            <w:r w:rsidR="008A611F">
              <w:rPr>
                <w:noProof/>
                <w:webHidden/>
              </w:rPr>
              <w:fldChar w:fldCharType="end"/>
            </w:r>
          </w:hyperlink>
        </w:p>
        <w:p w14:paraId="706A7D51" w14:textId="03825A73" w:rsidR="008A611F" w:rsidRDefault="002570ED" w:rsidP="008776FB">
          <w:pPr>
            <w:pStyle w:val="TOC2"/>
            <w:tabs>
              <w:tab w:val="right" w:leader="dot" w:pos="10070"/>
            </w:tabs>
            <w:spacing w:after="0" w:line="240" w:lineRule="auto"/>
            <w:contextualSpacing/>
            <w:rPr>
              <w:rFonts w:eastAsiaTheme="minorEastAsia"/>
              <w:noProof/>
            </w:rPr>
          </w:pPr>
          <w:hyperlink w:anchor="_Toc117000818" w:history="1">
            <w:r w:rsidR="008A611F" w:rsidRPr="00082474">
              <w:rPr>
                <w:rStyle w:val="Hyperlink"/>
                <w:noProof/>
              </w:rPr>
              <w:t>Postoperative Early Mobilization</w:t>
            </w:r>
            <w:r w:rsidR="008A611F">
              <w:rPr>
                <w:noProof/>
                <w:webHidden/>
              </w:rPr>
              <w:tab/>
            </w:r>
            <w:r w:rsidR="008A611F">
              <w:rPr>
                <w:noProof/>
                <w:webHidden/>
              </w:rPr>
              <w:fldChar w:fldCharType="begin"/>
            </w:r>
            <w:r w:rsidR="008A611F">
              <w:rPr>
                <w:noProof/>
                <w:webHidden/>
              </w:rPr>
              <w:instrText xml:space="preserve"> PAGEREF _Toc117000818 \h </w:instrText>
            </w:r>
            <w:r w:rsidR="008A611F">
              <w:rPr>
                <w:noProof/>
                <w:webHidden/>
              </w:rPr>
            </w:r>
            <w:r w:rsidR="008A611F">
              <w:rPr>
                <w:noProof/>
                <w:webHidden/>
              </w:rPr>
              <w:fldChar w:fldCharType="separate"/>
            </w:r>
            <w:r w:rsidR="009C7C23">
              <w:rPr>
                <w:noProof/>
                <w:webHidden/>
              </w:rPr>
              <w:t>37</w:t>
            </w:r>
            <w:r w:rsidR="008A611F">
              <w:rPr>
                <w:noProof/>
                <w:webHidden/>
              </w:rPr>
              <w:fldChar w:fldCharType="end"/>
            </w:r>
          </w:hyperlink>
        </w:p>
        <w:p w14:paraId="40567699" w14:textId="4F6CCD79" w:rsidR="008A611F" w:rsidRDefault="002570ED" w:rsidP="008776FB">
          <w:pPr>
            <w:pStyle w:val="TOC2"/>
            <w:tabs>
              <w:tab w:val="right" w:leader="dot" w:pos="10070"/>
            </w:tabs>
            <w:spacing w:after="0" w:line="240" w:lineRule="auto"/>
            <w:contextualSpacing/>
            <w:rPr>
              <w:rFonts w:eastAsiaTheme="minorEastAsia"/>
              <w:noProof/>
            </w:rPr>
          </w:pPr>
          <w:hyperlink w:anchor="_Toc117000819" w:history="1">
            <w:r w:rsidR="008A611F" w:rsidRPr="00082474">
              <w:rPr>
                <w:rStyle w:val="Hyperlink"/>
                <w:noProof/>
              </w:rPr>
              <w:t>Prevention of Postoperative Ileus and Constipation</w:t>
            </w:r>
            <w:r w:rsidR="008A611F">
              <w:rPr>
                <w:noProof/>
                <w:webHidden/>
              </w:rPr>
              <w:tab/>
            </w:r>
            <w:r w:rsidR="008A611F">
              <w:rPr>
                <w:noProof/>
                <w:webHidden/>
              </w:rPr>
              <w:fldChar w:fldCharType="begin"/>
            </w:r>
            <w:r w:rsidR="008A611F">
              <w:rPr>
                <w:noProof/>
                <w:webHidden/>
              </w:rPr>
              <w:instrText xml:space="preserve"> PAGEREF _Toc117000819 \h </w:instrText>
            </w:r>
            <w:r w:rsidR="008A611F">
              <w:rPr>
                <w:noProof/>
                <w:webHidden/>
              </w:rPr>
            </w:r>
            <w:r w:rsidR="008A611F">
              <w:rPr>
                <w:noProof/>
                <w:webHidden/>
              </w:rPr>
              <w:fldChar w:fldCharType="separate"/>
            </w:r>
            <w:r w:rsidR="009C7C23">
              <w:rPr>
                <w:noProof/>
                <w:webHidden/>
              </w:rPr>
              <w:t>38</w:t>
            </w:r>
            <w:r w:rsidR="008A611F">
              <w:rPr>
                <w:noProof/>
                <w:webHidden/>
              </w:rPr>
              <w:fldChar w:fldCharType="end"/>
            </w:r>
          </w:hyperlink>
        </w:p>
        <w:p w14:paraId="5010B442" w14:textId="376805CF" w:rsidR="008A611F" w:rsidRDefault="002570ED" w:rsidP="008776FB">
          <w:pPr>
            <w:pStyle w:val="TOC2"/>
            <w:tabs>
              <w:tab w:val="right" w:leader="dot" w:pos="10070"/>
            </w:tabs>
            <w:spacing w:after="0" w:line="240" w:lineRule="auto"/>
            <w:contextualSpacing/>
            <w:rPr>
              <w:rFonts w:eastAsiaTheme="minorEastAsia"/>
              <w:noProof/>
            </w:rPr>
          </w:pPr>
          <w:hyperlink w:anchor="_Toc117000820" w:history="1">
            <w:r w:rsidR="008A611F" w:rsidRPr="00082474">
              <w:rPr>
                <w:rStyle w:val="Hyperlink"/>
                <w:noProof/>
              </w:rPr>
              <w:t xml:space="preserve">Postoperative Indwelling Urinary Catheter Avoidance or Early Removal </w:t>
            </w:r>
            <w:r w:rsidR="008A611F">
              <w:rPr>
                <w:noProof/>
                <w:webHidden/>
              </w:rPr>
              <w:tab/>
            </w:r>
            <w:r w:rsidR="008A611F">
              <w:rPr>
                <w:noProof/>
                <w:webHidden/>
              </w:rPr>
              <w:fldChar w:fldCharType="begin"/>
            </w:r>
            <w:r w:rsidR="008A611F">
              <w:rPr>
                <w:noProof/>
                <w:webHidden/>
              </w:rPr>
              <w:instrText xml:space="preserve"> PAGEREF _Toc117000820 \h </w:instrText>
            </w:r>
            <w:r w:rsidR="008A611F">
              <w:rPr>
                <w:noProof/>
                <w:webHidden/>
              </w:rPr>
            </w:r>
            <w:r w:rsidR="008A611F">
              <w:rPr>
                <w:noProof/>
                <w:webHidden/>
              </w:rPr>
              <w:fldChar w:fldCharType="separate"/>
            </w:r>
            <w:r w:rsidR="009C7C23">
              <w:rPr>
                <w:noProof/>
                <w:webHidden/>
              </w:rPr>
              <w:t>39</w:t>
            </w:r>
            <w:r w:rsidR="008A611F">
              <w:rPr>
                <w:noProof/>
                <w:webHidden/>
              </w:rPr>
              <w:fldChar w:fldCharType="end"/>
            </w:r>
          </w:hyperlink>
        </w:p>
        <w:p w14:paraId="2BE0184D" w14:textId="25DF9D7F" w:rsidR="008A611F" w:rsidRDefault="002570ED" w:rsidP="008776FB">
          <w:pPr>
            <w:pStyle w:val="TOC2"/>
            <w:tabs>
              <w:tab w:val="right" w:leader="dot" w:pos="10070"/>
            </w:tabs>
            <w:spacing w:after="0" w:line="240" w:lineRule="auto"/>
            <w:contextualSpacing/>
            <w:rPr>
              <w:rFonts w:eastAsiaTheme="minorEastAsia"/>
              <w:noProof/>
            </w:rPr>
          </w:pPr>
          <w:hyperlink w:anchor="_Toc117000821" w:history="1">
            <w:r w:rsidR="008A611F" w:rsidRPr="00082474">
              <w:rPr>
                <w:rStyle w:val="Hyperlink"/>
                <w:noProof/>
              </w:rPr>
              <w:t>Postoperative IV Fluid Discontinuation</w:t>
            </w:r>
            <w:r w:rsidR="008A611F">
              <w:rPr>
                <w:noProof/>
                <w:webHidden/>
              </w:rPr>
              <w:tab/>
            </w:r>
            <w:r w:rsidR="008A611F">
              <w:rPr>
                <w:noProof/>
                <w:webHidden/>
              </w:rPr>
              <w:fldChar w:fldCharType="begin"/>
            </w:r>
            <w:r w:rsidR="008A611F">
              <w:rPr>
                <w:noProof/>
                <w:webHidden/>
              </w:rPr>
              <w:instrText xml:space="preserve"> PAGEREF _Toc117000821 \h </w:instrText>
            </w:r>
            <w:r w:rsidR="008A611F">
              <w:rPr>
                <w:noProof/>
                <w:webHidden/>
              </w:rPr>
            </w:r>
            <w:r w:rsidR="008A611F">
              <w:rPr>
                <w:noProof/>
                <w:webHidden/>
              </w:rPr>
              <w:fldChar w:fldCharType="separate"/>
            </w:r>
            <w:r w:rsidR="009C7C23">
              <w:rPr>
                <w:noProof/>
                <w:webHidden/>
              </w:rPr>
              <w:t>40</w:t>
            </w:r>
            <w:r w:rsidR="008A611F">
              <w:rPr>
                <w:noProof/>
                <w:webHidden/>
              </w:rPr>
              <w:fldChar w:fldCharType="end"/>
            </w:r>
          </w:hyperlink>
        </w:p>
        <w:p w14:paraId="4F111105" w14:textId="787B6629" w:rsidR="008A611F" w:rsidRDefault="002570ED" w:rsidP="008776FB">
          <w:pPr>
            <w:pStyle w:val="TOC2"/>
            <w:tabs>
              <w:tab w:val="right" w:leader="dot" w:pos="10070"/>
            </w:tabs>
            <w:spacing w:after="0" w:line="240" w:lineRule="auto"/>
            <w:contextualSpacing/>
            <w:rPr>
              <w:rFonts w:eastAsiaTheme="minorEastAsia"/>
              <w:noProof/>
            </w:rPr>
          </w:pPr>
          <w:hyperlink w:anchor="_Toc117000822" w:history="1">
            <w:r w:rsidR="008A611F" w:rsidRPr="00082474">
              <w:rPr>
                <w:rStyle w:val="Hyperlink"/>
                <w:noProof/>
              </w:rPr>
              <w:t>Postoperative Antibiotics</w:t>
            </w:r>
            <w:r w:rsidR="008A611F">
              <w:rPr>
                <w:noProof/>
                <w:webHidden/>
              </w:rPr>
              <w:tab/>
            </w:r>
            <w:r w:rsidR="008A611F">
              <w:rPr>
                <w:noProof/>
                <w:webHidden/>
              </w:rPr>
              <w:fldChar w:fldCharType="begin"/>
            </w:r>
            <w:r w:rsidR="008A611F">
              <w:rPr>
                <w:noProof/>
                <w:webHidden/>
              </w:rPr>
              <w:instrText xml:space="preserve"> PAGEREF _Toc117000822 \h </w:instrText>
            </w:r>
            <w:r w:rsidR="008A611F">
              <w:rPr>
                <w:noProof/>
                <w:webHidden/>
              </w:rPr>
            </w:r>
            <w:r w:rsidR="008A611F">
              <w:rPr>
                <w:noProof/>
                <w:webHidden/>
              </w:rPr>
              <w:fldChar w:fldCharType="separate"/>
            </w:r>
            <w:r w:rsidR="009C7C23">
              <w:rPr>
                <w:noProof/>
                <w:webHidden/>
              </w:rPr>
              <w:t>41</w:t>
            </w:r>
            <w:r w:rsidR="008A611F">
              <w:rPr>
                <w:noProof/>
                <w:webHidden/>
              </w:rPr>
              <w:fldChar w:fldCharType="end"/>
            </w:r>
          </w:hyperlink>
        </w:p>
        <w:p w14:paraId="5CC6DEDB" w14:textId="471EE9F3" w:rsidR="008A611F" w:rsidRDefault="002570ED" w:rsidP="008776FB">
          <w:pPr>
            <w:pStyle w:val="TOC2"/>
            <w:tabs>
              <w:tab w:val="right" w:leader="dot" w:pos="10070"/>
            </w:tabs>
            <w:spacing w:after="0" w:line="240" w:lineRule="auto"/>
            <w:contextualSpacing/>
            <w:rPr>
              <w:rFonts w:eastAsiaTheme="minorEastAsia"/>
              <w:noProof/>
            </w:rPr>
          </w:pPr>
          <w:hyperlink w:anchor="_Toc117000823" w:history="1">
            <w:r w:rsidR="008A611F" w:rsidRPr="00082474">
              <w:rPr>
                <w:rStyle w:val="Hyperlink"/>
                <w:noProof/>
              </w:rPr>
              <w:t>Postoperative Discharge Pain Control</w:t>
            </w:r>
            <w:r w:rsidR="008A611F">
              <w:rPr>
                <w:noProof/>
                <w:webHidden/>
              </w:rPr>
              <w:tab/>
            </w:r>
            <w:r w:rsidR="008A611F">
              <w:rPr>
                <w:noProof/>
                <w:webHidden/>
              </w:rPr>
              <w:fldChar w:fldCharType="begin"/>
            </w:r>
            <w:r w:rsidR="008A611F">
              <w:rPr>
                <w:noProof/>
                <w:webHidden/>
              </w:rPr>
              <w:instrText xml:space="preserve"> PAGEREF _Toc117000823 \h </w:instrText>
            </w:r>
            <w:r w:rsidR="008A611F">
              <w:rPr>
                <w:noProof/>
                <w:webHidden/>
              </w:rPr>
            </w:r>
            <w:r w:rsidR="008A611F">
              <w:rPr>
                <w:noProof/>
                <w:webHidden/>
              </w:rPr>
              <w:fldChar w:fldCharType="separate"/>
            </w:r>
            <w:r w:rsidR="009C7C23">
              <w:rPr>
                <w:noProof/>
                <w:webHidden/>
              </w:rPr>
              <w:t>42</w:t>
            </w:r>
            <w:r w:rsidR="008A611F">
              <w:rPr>
                <w:noProof/>
                <w:webHidden/>
              </w:rPr>
              <w:fldChar w:fldCharType="end"/>
            </w:r>
          </w:hyperlink>
        </w:p>
        <w:p w14:paraId="546062EE" w14:textId="641452A7" w:rsidR="008A611F" w:rsidRDefault="002570ED" w:rsidP="008776FB">
          <w:pPr>
            <w:pStyle w:val="TOC2"/>
            <w:tabs>
              <w:tab w:val="right" w:leader="dot" w:pos="10070"/>
            </w:tabs>
            <w:spacing w:after="0" w:line="240" w:lineRule="auto"/>
            <w:contextualSpacing/>
            <w:rPr>
              <w:rFonts w:eastAsiaTheme="minorEastAsia"/>
              <w:noProof/>
            </w:rPr>
          </w:pPr>
          <w:hyperlink w:anchor="_Toc117000824" w:history="1">
            <w:r w:rsidR="008A611F" w:rsidRPr="00082474">
              <w:rPr>
                <w:rStyle w:val="Hyperlink"/>
                <w:noProof/>
              </w:rPr>
              <w:t>Postoperative Discharge Planning</w:t>
            </w:r>
            <w:r w:rsidR="008A611F">
              <w:rPr>
                <w:noProof/>
                <w:webHidden/>
              </w:rPr>
              <w:tab/>
            </w:r>
            <w:r w:rsidR="008A611F">
              <w:rPr>
                <w:noProof/>
                <w:webHidden/>
              </w:rPr>
              <w:fldChar w:fldCharType="begin"/>
            </w:r>
            <w:r w:rsidR="008A611F">
              <w:rPr>
                <w:noProof/>
                <w:webHidden/>
              </w:rPr>
              <w:instrText xml:space="preserve"> PAGEREF _Toc117000824 \h </w:instrText>
            </w:r>
            <w:r w:rsidR="008A611F">
              <w:rPr>
                <w:noProof/>
                <w:webHidden/>
              </w:rPr>
            </w:r>
            <w:r w:rsidR="008A611F">
              <w:rPr>
                <w:noProof/>
                <w:webHidden/>
              </w:rPr>
              <w:fldChar w:fldCharType="separate"/>
            </w:r>
            <w:r w:rsidR="009C7C23">
              <w:rPr>
                <w:noProof/>
                <w:webHidden/>
              </w:rPr>
              <w:t>43</w:t>
            </w:r>
            <w:r w:rsidR="008A611F">
              <w:rPr>
                <w:noProof/>
                <w:webHidden/>
              </w:rPr>
              <w:fldChar w:fldCharType="end"/>
            </w:r>
          </w:hyperlink>
        </w:p>
        <w:p w14:paraId="10C02978" w14:textId="7A9C7613" w:rsidR="008A611F" w:rsidRDefault="002570ED" w:rsidP="008776FB">
          <w:pPr>
            <w:pStyle w:val="TOC2"/>
            <w:tabs>
              <w:tab w:val="right" w:leader="dot" w:pos="10070"/>
            </w:tabs>
            <w:spacing w:after="0" w:line="240" w:lineRule="auto"/>
            <w:contextualSpacing/>
            <w:rPr>
              <w:rFonts w:eastAsiaTheme="minorEastAsia"/>
              <w:noProof/>
            </w:rPr>
          </w:pPr>
          <w:hyperlink w:anchor="_Toc117000825" w:history="1">
            <w:r w:rsidR="008A611F" w:rsidRPr="00082474">
              <w:rPr>
                <w:rStyle w:val="Hyperlink"/>
                <w:noProof/>
              </w:rPr>
              <w:t>Appendix: Evidence Reviews Conducted for the AHRQ Safety Program for Improving Surgical Care and Recovery</w:t>
            </w:r>
            <w:r w:rsidR="008A611F">
              <w:rPr>
                <w:noProof/>
                <w:webHidden/>
              </w:rPr>
              <w:tab/>
            </w:r>
            <w:r w:rsidR="008A611F">
              <w:rPr>
                <w:noProof/>
                <w:webHidden/>
              </w:rPr>
              <w:fldChar w:fldCharType="begin"/>
            </w:r>
            <w:r w:rsidR="008A611F">
              <w:rPr>
                <w:noProof/>
                <w:webHidden/>
              </w:rPr>
              <w:instrText xml:space="preserve"> PAGEREF _Toc117000825 \h </w:instrText>
            </w:r>
            <w:r w:rsidR="008A611F">
              <w:rPr>
                <w:noProof/>
                <w:webHidden/>
              </w:rPr>
            </w:r>
            <w:r w:rsidR="008A611F">
              <w:rPr>
                <w:noProof/>
                <w:webHidden/>
              </w:rPr>
              <w:fldChar w:fldCharType="separate"/>
            </w:r>
            <w:r w:rsidR="009C7C23">
              <w:rPr>
                <w:noProof/>
                <w:webHidden/>
              </w:rPr>
              <w:t>44</w:t>
            </w:r>
            <w:r w:rsidR="008A611F">
              <w:rPr>
                <w:noProof/>
                <w:webHidden/>
              </w:rPr>
              <w:fldChar w:fldCharType="end"/>
            </w:r>
          </w:hyperlink>
        </w:p>
        <w:p w14:paraId="2ADAD7A1" w14:textId="77777777" w:rsidR="00574FA1" w:rsidRDefault="00574FA1" w:rsidP="008776FB">
          <w:pPr>
            <w:spacing w:after="0" w:line="240" w:lineRule="auto"/>
            <w:contextualSpacing/>
          </w:pPr>
          <w:r>
            <w:rPr>
              <w:b/>
              <w:bCs/>
              <w:noProof/>
            </w:rPr>
            <w:fldChar w:fldCharType="end"/>
          </w:r>
        </w:p>
      </w:sdtContent>
    </w:sdt>
    <w:p w14:paraId="288F0A77" w14:textId="77777777" w:rsidR="006E19CD" w:rsidRDefault="006E19CD" w:rsidP="00DD529B">
      <w:pPr>
        <w:pStyle w:val="BodyText1"/>
      </w:pPr>
      <w:r>
        <w:br w:type="page"/>
      </w:r>
    </w:p>
    <w:p w14:paraId="12913BF1" w14:textId="77777777" w:rsidR="008D1CF0" w:rsidRDefault="008D1CF0" w:rsidP="00B11F03">
      <w:pPr>
        <w:sectPr w:rsidR="008D1CF0" w:rsidSect="00C222AB">
          <w:type w:val="continuous"/>
          <w:pgSz w:w="12240" w:h="15840" w:code="1"/>
          <w:pgMar w:top="1440" w:right="1080" w:bottom="1440" w:left="1080" w:header="720" w:footer="720" w:gutter="0"/>
          <w:cols w:space="720"/>
          <w:titlePg/>
          <w:docGrid w:linePitch="360"/>
        </w:sectPr>
      </w:pPr>
    </w:p>
    <w:p w14:paraId="68B555AE" w14:textId="7D0F05D5" w:rsidR="00B11F03" w:rsidRPr="00B11F03" w:rsidRDefault="00B11F03" w:rsidP="00EC3092">
      <w:pPr>
        <w:pStyle w:val="BodyText1"/>
      </w:pPr>
      <w:r w:rsidRPr="00B11F03">
        <w:lastRenderedPageBreak/>
        <w:t>The table</w:t>
      </w:r>
      <w:r>
        <w:t>s</w:t>
      </w:r>
      <w:r w:rsidRPr="00B11F03">
        <w:t xml:space="preserve"> below list </w:t>
      </w:r>
      <w:r w:rsidR="001124F5">
        <w:t>each component that should be considered when developing your</w:t>
      </w:r>
      <w:r w:rsidR="00BB3835">
        <w:t xml:space="preserve"> </w:t>
      </w:r>
      <w:r w:rsidR="001124F5">
        <w:t>pathway</w:t>
      </w:r>
      <w:r w:rsidR="00BB3835">
        <w:t xml:space="preserve">. Process </w:t>
      </w:r>
      <w:r w:rsidR="001124F5">
        <w:t>example</w:t>
      </w:r>
      <w:r w:rsidR="00BB3835">
        <w:t xml:space="preserve">s are provided that can be applied to all or some ISCR pathways, including: </w:t>
      </w:r>
      <w:r w:rsidR="00544BAC">
        <w:t xml:space="preserve">colorectal, gynecologic, hip and knee replacement, hip fracture, and emergency general surgery (major abdominal, appendectomy, cholecystectomy) </w:t>
      </w:r>
      <w:r w:rsidR="00BB3835">
        <w:t>procedures</w:t>
      </w:r>
      <w:r w:rsidR="00544BAC">
        <w:t>.</w:t>
      </w:r>
      <w:r w:rsidRPr="00B11F03">
        <w:t xml:space="preserve"> The information is intended to be adapted by a hospital based on collective review of the pathway by all local stakeholders. Important stakeholders include surgeons, anesthesia providers, nurses, pharmacists, physical therapists, </w:t>
      </w:r>
      <w:r w:rsidR="00DC4499">
        <w:t xml:space="preserve">and </w:t>
      </w:r>
      <w:r w:rsidRPr="00B11F03">
        <w:t>technicians</w:t>
      </w:r>
      <w:r w:rsidR="00DC4499">
        <w:t>,</w:t>
      </w:r>
      <w:r w:rsidRPr="00B11F03">
        <w:t xml:space="preserve"> </w:t>
      </w:r>
      <w:r w:rsidR="00660566" w:rsidRPr="00B11F03">
        <w:t>a</w:t>
      </w:r>
      <w:r w:rsidR="00660566">
        <w:t>s well as</w:t>
      </w:r>
      <w:r w:rsidR="00660566" w:rsidRPr="00B11F03">
        <w:t xml:space="preserve"> </w:t>
      </w:r>
      <w:r w:rsidRPr="00B11F03">
        <w:t>other healthcare providers. As a team, review each component of the pathway and discuss what approach best fits your hospital. Any practice described in this tool must be applied by healthcare practitioners in accordance with professional judgment and standards of care in regard to the unique circumstances that may apply in each situation they encounter.</w:t>
      </w:r>
    </w:p>
    <w:p w14:paraId="0FA4D8D8" w14:textId="77777777" w:rsidR="00B11F03" w:rsidRDefault="00B11F03" w:rsidP="00EC3092">
      <w:pPr>
        <w:pStyle w:val="BodyText1"/>
      </w:pPr>
      <w:r w:rsidRPr="00B11F03">
        <w:t>Most hospitals find it easiest to agree on a single pathway that best fits the majority of their surgery patients, recognizing that there will be</w:t>
      </w:r>
      <w:r w:rsidR="00B15E3E">
        <w:t xml:space="preserve"> procedures and </w:t>
      </w:r>
      <w:r w:rsidRPr="00B11F03">
        <w:t>patient</w:t>
      </w:r>
      <w:r w:rsidR="00B15E3E">
        <w:t xml:space="preserve"> risk factors </w:t>
      </w:r>
      <w:r w:rsidRPr="00B11F03">
        <w:t>that require exceptions.</w:t>
      </w:r>
      <w:r w:rsidR="00B15E3E" w:rsidRPr="00B15E3E">
        <w:t xml:space="preserve"> </w:t>
      </w:r>
    </w:p>
    <w:p w14:paraId="421F87C6" w14:textId="445FBB02" w:rsidR="00B11F03" w:rsidRDefault="00301962" w:rsidP="00EC3092">
      <w:pPr>
        <w:pStyle w:val="BodyText1"/>
        <w:rPr>
          <w:b/>
        </w:rPr>
      </w:pPr>
      <w:r>
        <w:rPr>
          <w:b/>
        </w:rPr>
        <w:t>D</w:t>
      </w:r>
      <w:r w:rsidR="00B11F03" w:rsidRPr="002455BD">
        <w:rPr>
          <w:b/>
        </w:rPr>
        <w:t xml:space="preserve">osages </w:t>
      </w:r>
      <w:r w:rsidR="005A27D0">
        <w:rPr>
          <w:b/>
        </w:rPr>
        <w:t>of</w:t>
      </w:r>
      <w:r w:rsidR="005A27D0" w:rsidRPr="002455BD">
        <w:rPr>
          <w:b/>
        </w:rPr>
        <w:t xml:space="preserve"> </w:t>
      </w:r>
      <w:r w:rsidR="00B11F03" w:rsidRPr="002455BD">
        <w:rPr>
          <w:b/>
        </w:rPr>
        <w:t>medications</w:t>
      </w:r>
      <w:r w:rsidR="005A27D0">
        <w:rPr>
          <w:b/>
        </w:rPr>
        <w:t xml:space="preserve"> </w:t>
      </w:r>
      <w:r w:rsidR="00656BEF">
        <w:rPr>
          <w:b/>
        </w:rPr>
        <w:t>are not included</w:t>
      </w:r>
      <w:r w:rsidR="00B11F03" w:rsidRPr="002455BD">
        <w:rPr>
          <w:b/>
        </w:rPr>
        <w:t xml:space="preserve">. </w:t>
      </w:r>
      <w:r w:rsidR="009409BF" w:rsidRPr="009409BF">
        <w:rPr>
          <w:b/>
        </w:rPr>
        <w:t>Please consult with a pharmacist as you develop your pathway.</w:t>
      </w:r>
      <w:r w:rsidR="009409BF">
        <w:rPr>
          <w:b/>
        </w:rPr>
        <w:t xml:space="preserve"> </w:t>
      </w:r>
      <w:r w:rsidR="00656BEF">
        <w:rPr>
          <w:b/>
        </w:rPr>
        <w:t>M</w:t>
      </w:r>
      <w:r w:rsidR="009409BF" w:rsidRPr="009409BF">
        <w:rPr>
          <w:b/>
        </w:rPr>
        <w:t>edication</w:t>
      </w:r>
      <w:r w:rsidR="00656BEF">
        <w:rPr>
          <w:b/>
        </w:rPr>
        <w:t xml:space="preserve"> </w:t>
      </w:r>
      <w:r w:rsidR="009409BF" w:rsidRPr="009409BF">
        <w:rPr>
          <w:b/>
        </w:rPr>
        <w:t>side effects should be taken into consideration on an individual patient basis prior to administration.</w:t>
      </w:r>
    </w:p>
    <w:bookmarkEnd w:id="1"/>
    <w:p w14:paraId="4EA87E56" w14:textId="77777777" w:rsidR="002E51BD" w:rsidRPr="002455BD" w:rsidRDefault="00BB3835" w:rsidP="00890EAD">
      <w:pPr>
        <w:pStyle w:val="Section1title"/>
      </w:pPr>
      <w:r>
        <w:t>ISCR Pathway Components</w:t>
      </w:r>
    </w:p>
    <w:p w14:paraId="3103870E" w14:textId="77777777" w:rsidR="00374FD7" w:rsidRPr="00574FA1" w:rsidRDefault="00AE5F35">
      <w:pPr>
        <w:pStyle w:val="Heading2"/>
      </w:pPr>
      <w:bookmarkStart w:id="2" w:name="_Toc117000789"/>
      <w:r w:rsidRPr="00574FA1">
        <w:t>Preoperative</w:t>
      </w:r>
      <w:r w:rsidR="00574FA1" w:rsidRPr="00574FA1">
        <w:t xml:space="preserve"> </w:t>
      </w:r>
      <w:r w:rsidR="00374FD7" w:rsidRPr="00574FA1">
        <w:t>Patient Education</w:t>
      </w:r>
      <w:bookmarkEnd w:id="2"/>
    </w:p>
    <w:p w14:paraId="6F60E772" w14:textId="64DBD480" w:rsidR="00374FD7" w:rsidRPr="00EC3092" w:rsidRDefault="00374FD7" w:rsidP="00EC3092">
      <w:pPr>
        <w:pStyle w:val="BodyText1"/>
      </w:pPr>
      <w:r w:rsidRPr="00EC3092">
        <w:t>For elective procedures and those with longer lead time prior to operation: Patients should receive preoperative education, including detailed information on the surgical procedure and components of the enhanced recovery pathway in which patients are expected to participate (e.g.</w:t>
      </w:r>
      <w:r w:rsidR="00282FBC">
        <w:t>,</w:t>
      </w:r>
      <w:r w:rsidRPr="00EC3092">
        <w:t xml:space="preserve"> smoking cessation, diabetes management, reduced fasting, preoperative bathing, early ambulation, early oral intake, venous thromboembolism prophylaxis, possible use of regional anesthesia, avoiding or minimizing opioid pain medication, and discharge planning)</w:t>
      </w:r>
    </w:p>
    <w:p w14:paraId="739BE590" w14:textId="77777777" w:rsidR="00374FD7" w:rsidRPr="00EC3092" w:rsidRDefault="00374FD7" w:rsidP="00EC3092">
      <w:pPr>
        <w:pStyle w:val="Bullet1"/>
      </w:pPr>
      <w:r w:rsidRPr="00EC3092">
        <w:t xml:space="preserve">Additional patient education aspects for colorectal procedures: bowel preparation </w:t>
      </w:r>
    </w:p>
    <w:p w14:paraId="3EC2CDE8" w14:textId="74DE7E46" w:rsidR="00374FD7" w:rsidRPr="00EC3092" w:rsidRDefault="00374FD7" w:rsidP="00EC3092">
      <w:pPr>
        <w:pStyle w:val="BodyText1"/>
      </w:pPr>
      <w:r w:rsidRPr="009B185A">
        <w:rPr>
          <w:i/>
        </w:rPr>
        <w:t>For emergency general surgery:</w:t>
      </w:r>
      <w:r w:rsidRPr="00EC3092">
        <w:t xml:space="preserve"> Patients should receive detailed information on the surgical procedure and possible complications. Expectations, including but not limited to the anticipated postoperative course, possible </w:t>
      </w:r>
      <w:r w:rsidR="00D063E9">
        <w:t>intensive care unit</w:t>
      </w:r>
      <w:r w:rsidRPr="00EC3092">
        <w:t xml:space="preserve"> admission and stay, and the time to recovery of baseline functional status, should be included. Although counseling prior to hospital presentation about pathway components will not be possible in the emergency general surgery population, it is encouraged that hospitals develop a mechanism to educate and engage patients and families undergoing emergency surgery either immediately before or after the procedure to improve patient engagement.</w:t>
      </w:r>
    </w:p>
    <w:tbl>
      <w:tblPr>
        <w:tblStyle w:val="GridTable1Light1"/>
        <w:tblW w:w="5002" w:type="pct"/>
        <w:tblLook w:val="0600" w:firstRow="0" w:lastRow="0" w:firstColumn="0" w:lastColumn="0" w:noHBand="1" w:noVBand="1"/>
      </w:tblPr>
      <w:tblGrid>
        <w:gridCol w:w="1884"/>
        <w:gridCol w:w="1889"/>
        <w:gridCol w:w="7741"/>
        <w:gridCol w:w="3470"/>
        <w:gridCol w:w="4115"/>
        <w:gridCol w:w="3940"/>
      </w:tblGrid>
      <w:tr w:rsidR="009C7C23" w:rsidRPr="000713D5" w14:paraId="62304272" w14:textId="77777777" w:rsidTr="009C7C23">
        <w:trPr>
          <w:cantSplit/>
          <w:trHeight w:val="973"/>
          <w:tblHeader/>
        </w:trPr>
        <w:tc>
          <w:tcPr>
            <w:tcW w:w="409" w:type="pct"/>
            <w:hideMark/>
          </w:tcPr>
          <w:p w14:paraId="52621C37" w14:textId="10B1559B" w:rsidR="00AE5F35" w:rsidRPr="000713D5" w:rsidRDefault="00AE5F35" w:rsidP="002435FA">
            <w:pPr>
              <w:pStyle w:val="TableParagraph"/>
              <w:rPr>
                <w:rStyle w:val="Strong"/>
              </w:rPr>
            </w:pPr>
            <w:r w:rsidRPr="000713D5">
              <w:rPr>
                <w:rStyle w:val="Strong"/>
              </w:rPr>
              <w:t xml:space="preserve">Pathway </w:t>
            </w:r>
          </w:p>
        </w:tc>
        <w:tc>
          <w:tcPr>
            <w:tcW w:w="410" w:type="pct"/>
            <w:hideMark/>
          </w:tcPr>
          <w:p w14:paraId="18E14924" w14:textId="77777777" w:rsidR="00AE5F35" w:rsidRPr="000713D5" w:rsidRDefault="00AE5F35" w:rsidP="002435FA">
            <w:pPr>
              <w:pStyle w:val="TableParagraph"/>
              <w:rPr>
                <w:rStyle w:val="Strong"/>
              </w:rPr>
            </w:pPr>
            <w:r w:rsidRPr="000713D5">
              <w:rPr>
                <w:rStyle w:val="Strong"/>
              </w:rPr>
              <w:t>Component</w:t>
            </w:r>
          </w:p>
        </w:tc>
        <w:tc>
          <w:tcPr>
            <w:tcW w:w="1680" w:type="pct"/>
            <w:hideMark/>
          </w:tcPr>
          <w:p w14:paraId="15BFB7C8" w14:textId="169F3A58" w:rsidR="009B185A" w:rsidRDefault="00AE5F35" w:rsidP="002435FA">
            <w:pPr>
              <w:pStyle w:val="TableParagraph"/>
              <w:rPr>
                <w:rStyle w:val="Strong"/>
              </w:rPr>
            </w:pPr>
            <w:r w:rsidRPr="000713D5">
              <w:rPr>
                <w:rStyle w:val="Strong"/>
              </w:rPr>
              <w:t xml:space="preserve">Example Processes </w:t>
            </w:r>
            <w:r w:rsidR="00DC4499">
              <w:rPr>
                <w:rStyle w:val="Strong"/>
              </w:rPr>
              <w:t>T</w:t>
            </w:r>
            <w:r w:rsidRPr="000713D5">
              <w:rPr>
                <w:rStyle w:val="Strong"/>
              </w:rPr>
              <w:t>o Consider</w:t>
            </w:r>
          </w:p>
          <w:p w14:paraId="76FA34FE" w14:textId="77777777" w:rsidR="00AE5F35" w:rsidRPr="009B185A" w:rsidRDefault="00AE5F35" w:rsidP="002435FA">
            <w:pPr>
              <w:pStyle w:val="TableParagraph"/>
              <w:rPr>
                <w:rStyle w:val="Strong"/>
                <w:b w:val="0"/>
                <w:i/>
              </w:rPr>
            </w:pPr>
            <w:r w:rsidRPr="009B185A">
              <w:rPr>
                <w:rStyle w:val="Strong"/>
                <w:b w:val="0"/>
                <w:i/>
              </w:rPr>
              <w:t>As a team, go through each component and discuss what approach best fits your hospital. It may be an option other than what is listed below.</w:t>
            </w:r>
          </w:p>
        </w:tc>
        <w:tc>
          <w:tcPr>
            <w:tcW w:w="753" w:type="pct"/>
            <w:hideMark/>
          </w:tcPr>
          <w:p w14:paraId="77CFDD18" w14:textId="77777777" w:rsidR="00AE5F35" w:rsidRPr="000713D5" w:rsidRDefault="00AE5F35" w:rsidP="002435FA">
            <w:pPr>
              <w:pStyle w:val="TableParagraph"/>
              <w:rPr>
                <w:rStyle w:val="Strong"/>
              </w:rPr>
            </w:pPr>
            <w:r w:rsidRPr="000713D5">
              <w:rPr>
                <w:rStyle w:val="Strong"/>
              </w:rPr>
              <w:t>Team Decisions/Notes</w:t>
            </w:r>
          </w:p>
          <w:p w14:paraId="7C61E66A" w14:textId="77777777" w:rsidR="00AE5F35" w:rsidRPr="009B185A" w:rsidRDefault="00AE5F35" w:rsidP="002435FA">
            <w:pPr>
              <w:pStyle w:val="TableParagraph"/>
              <w:rPr>
                <w:rStyle w:val="Strong"/>
                <w:i/>
              </w:rPr>
            </w:pPr>
            <w:r w:rsidRPr="009B185A">
              <w:rPr>
                <w:rStyle w:val="Strong"/>
                <w:b w:val="0"/>
                <w:i/>
              </w:rPr>
              <w:t>As a team, note exceptions and contraindications to the treatment or medications</w:t>
            </w:r>
            <w:r w:rsidRPr="009B185A">
              <w:rPr>
                <w:rStyle w:val="Strong"/>
                <w:i/>
              </w:rPr>
              <w:t>.</w:t>
            </w:r>
          </w:p>
        </w:tc>
        <w:tc>
          <w:tcPr>
            <w:tcW w:w="893" w:type="pct"/>
            <w:hideMark/>
          </w:tcPr>
          <w:p w14:paraId="52D164B9" w14:textId="5FF5AEA9" w:rsidR="00AE5F35" w:rsidRPr="000713D5" w:rsidRDefault="001E6CE4" w:rsidP="002435FA">
            <w:pPr>
              <w:pStyle w:val="TableParagraph"/>
              <w:rPr>
                <w:rStyle w:val="Strong"/>
              </w:rPr>
            </w:pPr>
            <w:r w:rsidRPr="000713D5">
              <w:rPr>
                <w:rStyle w:val="Strong"/>
              </w:rPr>
              <w:t xml:space="preserve">Other </w:t>
            </w:r>
            <w:r w:rsidR="003023A5">
              <w:rPr>
                <w:rStyle w:val="Strong"/>
              </w:rPr>
              <w:t>A</w:t>
            </w:r>
            <w:r w:rsidR="003023A5" w:rsidRPr="000713D5">
              <w:rPr>
                <w:rStyle w:val="Strong"/>
              </w:rPr>
              <w:t>vailable</w:t>
            </w:r>
            <w:r w:rsidR="003023A5">
              <w:rPr>
                <w:rStyle w:val="Strong"/>
              </w:rPr>
              <w:t xml:space="preserve"> R</w:t>
            </w:r>
            <w:r w:rsidR="00BD42D6" w:rsidRPr="000713D5">
              <w:rPr>
                <w:rStyle w:val="Strong"/>
              </w:rPr>
              <w:t>esources</w:t>
            </w:r>
            <w:r w:rsidR="00BD42D6">
              <w:rPr>
                <w:rStyle w:val="Strong"/>
              </w:rPr>
              <w:t xml:space="preserve"> </w:t>
            </w:r>
            <w:r w:rsidR="00DC4499">
              <w:rPr>
                <w:rStyle w:val="Strong"/>
              </w:rPr>
              <w:t>and</w:t>
            </w:r>
            <w:r w:rsidR="00882BA8" w:rsidRPr="000713D5">
              <w:rPr>
                <w:rStyle w:val="Strong"/>
              </w:rPr>
              <w:t xml:space="preserve"> </w:t>
            </w:r>
            <w:r w:rsidR="003023A5">
              <w:rPr>
                <w:rStyle w:val="Strong"/>
              </w:rPr>
              <w:t>T</w:t>
            </w:r>
            <w:r w:rsidR="00882BA8" w:rsidRPr="000713D5">
              <w:rPr>
                <w:rStyle w:val="Strong"/>
              </w:rPr>
              <w:t xml:space="preserve">ips </w:t>
            </w:r>
            <w:r w:rsidR="00DC4499">
              <w:rPr>
                <w:rStyle w:val="Strong"/>
              </w:rPr>
              <w:t>T</w:t>
            </w:r>
            <w:r w:rsidR="00882BA8" w:rsidRPr="000713D5">
              <w:rPr>
                <w:rStyle w:val="Strong"/>
              </w:rPr>
              <w:t xml:space="preserve">o </w:t>
            </w:r>
            <w:r w:rsidR="003023A5">
              <w:rPr>
                <w:rStyle w:val="Strong"/>
              </w:rPr>
              <w:t>C</w:t>
            </w:r>
            <w:r w:rsidR="00882BA8" w:rsidRPr="000713D5">
              <w:rPr>
                <w:rStyle w:val="Strong"/>
              </w:rPr>
              <w:t>onsider</w:t>
            </w:r>
          </w:p>
        </w:tc>
        <w:tc>
          <w:tcPr>
            <w:tcW w:w="855" w:type="pct"/>
            <w:hideMark/>
          </w:tcPr>
          <w:p w14:paraId="4611DC8E" w14:textId="77777777" w:rsidR="00F838E2" w:rsidRDefault="002936C9" w:rsidP="002435FA">
            <w:pPr>
              <w:pStyle w:val="TableParagraph"/>
              <w:rPr>
                <w:rStyle w:val="Strong"/>
              </w:rPr>
            </w:pPr>
            <w:r>
              <w:rPr>
                <w:rStyle w:val="Strong"/>
              </w:rPr>
              <w:t>ISCR Measures</w:t>
            </w:r>
          </w:p>
          <w:p w14:paraId="36471B23" w14:textId="77777777" w:rsidR="009733EE" w:rsidRPr="009733EE" w:rsidRDefault="009733EE" w:rsidP="002435FA">
            <w:pPr>
              <w:pStyle w:val="TableParagraph"/>
              <w:rPr>
                <w:rStyle w:val="Strong"/>
                <w:i/>
              </w:rPr>
            </w:pPr>
            <w:r w:rsidRPr="009733EE">
              <w:rPr>
                <w:bCs/>
                <w:i/>
              </w:rPr>
              <w:t>As a team, decide on specific and standardized measures you can track at your hospital. It may be helpful to record your definitions here.</w:t>
            </w:r>
          </w:p>
          <w:p w14:paraId="60E8E89A" w14:textId="77777777" w:rsidR="00AE5F35" w:rsidRPr="000713D5" w:rsidRDefault="00AE5F35" w:rsidP="002435FA">
            <w:pPr>
              <w:pStyle w:val="TableParagraph"/>
              <w:rPr>
                <w:rStyle w:val="Strong"/>
              </w:rPr>
            </w:pPr>
          </w:p>
        </w:tc>
      </w:tr>
      <w:tr w:rsidR="009C7C23" w:rsidRPr="00AE595D" w14:paraId="05250914" w14:textId="77777777" w:rsidTr="009C7C23">
        <w:trPr>
          <w:cantSplit/>
          <w:trHeight w:val="2145"/>
        </w:trPr>
        <w:tc>
          <w:tcPr>
            <w:tcW w:w="409" w:type="pct"/>
            <w:hideMark/>
          </w:tcPr>
          <w:p w14:paraId="7071FBD5" w14:textId="77777777" w:rsidR="0060622C" w:rsidRPr="00CE05A4" w:rsidRDefault="00FD62A1" w:rsidP="002435FA">
            <w:pPr>
              <w:pStyle w:val="TableParagraph"/>
              <w:rPr>
                <w:b/>
              </w:rPr>
            </w:pPr>
            <w:r w:rsidRPr="00CE05A4">
              <w:rPr>
                <w:b/>
              </w:rPr>
              <w:t xml:space="preserve">All </w:t>
            </w:r>
            <w:r w:rsidR="004F6155" w:rsidRPr="00CE05A4">
              <w:rPr>
                <w:b/>
              </w:rPr>
              <w:t xml:space="preserve">ISCR </w:t>
            </w:r>
            <w:r w:rsidRPr="00CE05A4">
              <w:rPr>
                <w:b/>
              </w:rPr>
              <w:t>Pathways</w:t>
            </w:r>
          </w:p>
        </w:tc>
        <w:tc>
          <w:tcPr>
            <w:tcW w:w="410" w:type="pct"/>
            <w:hideMark/>
          </w:tcPr>
          <w:p w14:paraId="5FD71436" w14:textId="77777777" w:rsidR="0060622C" w:rsidRPr="00CE05A4" w:rsidRDefault="0060622C" w:rsidP="002435FA">
            <w:pPr>
              <w:pStyle w:val="TableParagraph"/>
              <w:rPr>
                <w:b/>
              </w:rPr>
            </w:pPr>
            <w:r w:rsidRPr="00CE05A4">
              <w:rPr>
                <w:b/>
              </w:rPr>
              <w:t xml:space="preserve">Patient Education </w:t>
            </w:r>
          </w:p>
        </w:tc>
        <w:tc>
          <w:tcPr>
            <w:tcW w:w="1680" w:type="pct"/>
            <w:hideMark/>
          </w:tcPr>
          <w:p w14:paraId="592F42F1" w14:textId="77777777" w:rsidR="0060622C" w:rsidRPr="007C174E" w:rsidRDefault="0060622C" w:rsidP="007C174E">
            <w:pPr>
              <w:spacing w:after="120" w:line="240" w:lineRule="auto"/>
              <w:rPr>
                <w:rFonts w:eastAsia="Times New Roman" w:cs="Times New Roman"/>
                <w:b/>
                <w:color w:val="000000"/>
              </w:rPr>
            </w:pPr>
            <w:r w:rsidRPr="007C174E">
              <w:rPr>
                <w:rFonts w:eastAsia="Times New Roman" w:cs="Times New Roman"/>
                <w:b/>
                <w:color w:val="000000"/>
              </w:rPr>
              <w:t>Recommended approach:</w:t>
            </w:r>
          </w:p>
          <w:p w14:paraId="052803E7" w14:textId="77777777" w:rsidR="0060622C" w:rsidRPr="00AE595D" w:rsidRDefault="0060622C" w:rsidP="00FD7FDA">
            <w:pPr>
              <w:pStyle w:val="Bullet1"/>
            </w:pPr>
            <w:r w:rsidRPr="00AE595D">
              <w:t>Review existing patient education materials for surgery patients</w:t>
            </w:r>
          </w:p>
          <w:p w14:paraId="6B2A5B0E" w14:textId="77777777" w:rsidR="0060622C" w:rsidRPr="00AE595D" w:rsidRDefault="0060622C" w:rsidP="00FD7FDA">
            <w:pPr>
              <w:pStyle w:val="Bullet1"/>
            </w:pPr>
            <w:r w:rsidRPr="00AE595D">
              <w:t>Adapt the provided patient education booklet template as needed to your hospital and use it to counsel and educate patients on enhanced recovery</w:t>
            </w:r>
          </w:p>
          <w:p w14:paraId="52F41362" w14:textId="77777777" w:rsidR="0060622C" w:rsidRPr="00AE595D" w:rsidRDefault="0060622C" w:rsidP="00FD7FDA">
            <w:pPr>
              <w:pStyle w:val="Bullet1"/>
            </w:pPr>
            <w:r w:rsidRPr="00AE595D">
              <w:t>Identify staff (surgeons, nurses and/or office staff) who will ensure patients receive and understand education</w:t>
            </w:r>
          </w:p>
          <w:p w14:paraId="789874A2" w14:textId="77777777" w:rsidR="00FD62A1" w:rsidRPr="00AE595D" w:rsidRDefault="00FD62A1" w:rsidP="00FD7FDA">
            <w:pPr>
              <w:pStyle w:val="Bullet1"/>
            </w:pPr>
            <w:r w:rsidRPr="00AE595D">
              <w:t>If patient’s cognitive status allows, it is helpful to have preoperative education to set patient and family expectations, and promote engagement in surgery and recovery</w:t>
            </w:r>
          </w:p>
          <w:p w14:paraId="0BBF697C" w14:textId="6F3A7224" w:rsidR="00FD62A1" w:rsidRPr="00AE595D" w:rsidRDefault="00FD62A1" w:rsidP="00FD7FDA">
            <w:pPr>
              <w:pStyle w:val="Bullet1"/>
            </w:pPr>
            <w:r w:rsidRPr="00AE595D">
              <w:t>Coordinate patient education materials with existing educational sessions and exercise sessions</w:t>
            </w:r>
          </w:p>
        </w:tc>
        <w:tc>
          <w:tcPr>
            <w:tcW w:w="753" w:type="pct"/>
            <w:hideMark/>
          </w:tcPr>
          <w:p w14:paraId="493E6CA0" w14:textId="4669F922" w:rsidR="0060622C" w:rsidRPr="00AE595D" w:rsidRDefault="0060622C" w:rsidP="002435FA">
            <w:pPr>
              <w:pStyle w:val="TableParagraph"/>
            </w:pPr>
            <w:r w:rsidRPr="00AE595D">
              <w:t> </w:t>
            </w:r>
            <w:r w:rsidR="00001AAC" w:rsidRPr="007C7841">
              <w:rPr>
                <w:rFonts w:eastAsia="Times New Roman" w:cs="Times New Roman"/>
                <w:i/>
                <w:color w:val="000000"/>
              </w:rPr>
              <w:t xml:space="preserve">Enter </w:t>
            </w:r>
            <w:r w:rsidR="00DC4499">
              <w:rPr>
                <w:rFonts w:eastAsia="Times New Roman" w:cs="Times New Roman"/>
                <w:i/>
                <w:color w:val="000000"/>
              </w:rPr>
              <w:t xml:space="preserve">decisions/notes </w:t>
            </w:r>
            <w:r w:rsidR="00001AAC" w:rsidRPr="007C7841">
              <w:rPr>
                <w:rFonts w:eastAsia="Times New Roman" w:cs="Times New Roman"/>
                <w:i/>
                <w:color w:val="000000"/>
              </w:rPr>
              <w:t>here</w:t>
            </w:r>
          </w:p>
        </w:tc>
        <w:tc>
          <w:tcPr>
            <w:tcW w:w="893" w:type="pct"/>
            <w:hideMark/>
          </w:tcPr>
          <w:p w14:paraId="7ADA00E6" w14:textId="471E7B1F" w:rsidR="00FD62A1" w:rsidRPr="00AE595D" w:rsidRDefault="002570ED" w:rsidP="002435FA">
            <w:pPr>
              <w:pStyle w:val="TableParagraph"/>
            </w:pPr>
            <w:hyperlink r:id="rId12" w:history="1">
              <w:r w:rsidR="00B25EA2" w:rsidRPr="002570ED">
                <w:rPr>
                  <w:rStyle w:val="Hyperlink"/>
                </w:rPr>
                <w:t xml:space="preserve">Resource: </w:t>
              </w:r>
              <w:r w:rsidR="0060622C" w:rsidRPr="002570ED">
                <w:rPr>
                  <w:rStyle w:val="Hyperlink"/>
                </w:rPr>
                <w:t xml:space="preserve">Sample </w:t>
              </w:r>
              <w:r w:rsidR="0034357C" w:rsidRPr="002570ED">
                <w:rPr>
                  <w:rStyle w:val="Hyperlink"/>
                </w:rPr>
                <w:t>patient education booklets</w:t>
              </w:r>
            </w:hyperlink>
            <w:r w:rsidR="0034357C" w:rsidRPr="00AE595D">
              <w:t xml:space="preserve"> </w:t>
            </w:r>
            <w:r w:rsidR="0060622C" w:rsidRPr="00AE595D">
              <w:t xml:space="preserve">  </w:t>
            </w:r>
          </w:p>
          <w:p w14:paraId="18618266" w14:textId="30DC3623" w:rsidR="00FD62A1" w:rsidRPr="00AE595D" w:rsidRDefault="003023A5" w:rsidP="002435FA">
            <w:pPr>
              <w:pStyle w:val="TableParagraph"/>
            </w:pPr>
            <w:r>
              <w:rPr>
                <w:rStyle w:val="Strong"/>
              </w:rPr>
              <w:t>Tip</w:t>
            </w:r>
            <w:r w:rsidR="00FD62A1" w:rsidRPr="00D63FC9">
              <w:rPr>
                <w:rStyle w:val="Strong"/>
              </w:rPr>
              <w:t>:</w:t>
            </w:r>
            <w:r w:rsidR="00FD62A1" w:rsidRPr="00D63FC9">
              <w:t xml:space="preserve"> </w:t>
            </w:r>
            <w:r w:rsidR="008E12AC" w:rsidRPr="00D63FC9">
              <w:t>Education should be given weeks in advance for all nonemergency proc</w:t>
            </w:r>
            <w:r w:rsidR="002936C9" w:rsidRPr="00D63FC9">
              <w:t>edures. For emergency procedures, e</w:t>
            </w:r>
            <w:r w:rsidR="00FD62A1" w:rsidRPr="00D63FC9">
              <w:t xml:space="preserve">ducation </w:t>
            </w:r>
            <w:r w:rsidR="002936C9" w:rsidRPr="00D63FC9">
              <w:t>may be given right before the procedure, to a family member/caregiver, as soon as possible after the procedure</w:t>
            </w:r>
            <w:r w:rsidR="008A4CA8">
              <w:t>.</w:t>
            </w:r>
            <w:r w:rsidR="002936C9" w:rsidRPr="00D63FC9">
              <w:t xml:space="preserve"> </w:t>
            </w:r>
          </w:p>
        </w:tc>
        <w:tc>
          <w:tcPr>
            <w:tcW w:w="855" w:type="pct"/>
            <w:hideMark/>
          </w:tcPr>
          <w:p w14:paraId="6FD44CDB" w14:textId="77777777" w:rsidR="00FD62A1" w:rsidRPr="00AE595D" w:rsidRDefault="00FD62A1" w:rsidP="002435FA">
            <w:pPr>
              <w:pStyle w:val="TableParagraph"/>
              <w:rPr>
                <w:color w:val="000000"/>
              </w:rPr>
            </w:pPr>
            <w:r w:rsidRPr="00AE595D">
              <w:rPr>
                <w:color w:val="000000"/>
              </w:rPr>
              <w:t xml:space="preserve">Patient </w:t>
            </w:r>
            <w:r w:rsidR="00945FE8">
              <w:rPr>
                <w:color w:val="000000"/>
              </w:rPr>
              <w:t>e</w:t>
            </w:r>
            <w:r w:rsidRPr="00AE595D">
              <w:rPr>
                <w:color w:val="000000"/>
              </w:rPr>
              <w:t>ducation</w:t>
            </w:r>
            <w:r w:rsidR="0045636F">
              <w:rPr>
                <w:color w:val="000000"/>
              </w:rPr>
              <w:t xml:space="preserve"> provided to patient/caregiver</w:t>
            </w:r>
          </w:p>
          <w:p w14:paraId="3E956A8A" w14:textId="5A252FE3" w:rsidR="00B25EA2" w:rsidRPr="00AE595D" w:rsidRDefault="00B25EA2" w:rsidP="002435FA">
            <w:pPr>
              <w:pStyle w:val="TableParagraph"/>
              <w:rPr>
                <w:i/>
              </w:rPr>
            </w:pPr>
            <w:r w:rsidRPr="00D63FC9">
              <w:rPr>
                <w:i/>
              </w:rPr>
              <w:t xml:space="preserve">Example: Providing ISCR </w:t>
            </w:r>
            <w:r w:rsidR="0034357C" w:rsidRPr="00D63FC9">
              <w:rPr>
                <w:i/>
              </w:rPr>
              <w:t>p</w:t>
            </w:r>
            <w:r w:rsidRPr="00D63FC9">
              <w:rPr>
                <w:i/>
              </w:rPr>
              <w:t xml:space="preserve">atient </w:t>
            </w:r>
            <w:r w:rsidR="0034357C" w:rsidRPr="00D63FC9">
              <w:rPr>
                <w:i/>
              </w:rPr>
              <w:t>e</w:t>
            </w:r>
            <w:r w:rsidRPr="00D63FC9">
              <w:rPr>
                <w:i/>
              </w:rPr>
              <w:t>ducation booklet and instructions which address preoperative (fasting) and postoperative (pain control) information (Y/N)</w:t>
            </w:r>
          </w:p>
        </w:tc>
      </w:tr>
    </w:tbl>
    <w:p w14:paraId="5AC03FB0" w14:textId="13C92844" w:rsidR="0021724D" w:rsidRPr="00AE595D" w:rsidRDefault="002570ED" w:rsidP="00AE595D">
      <w:pPr>
        <w:spacing w:after="120" w:line="240" w:lineRule="auto"/>
      </w:pPr>
      <w:sdt>
        <w:sdtPr>
          <w:rPr>
            <w:b/>
          </w:rPr>
          <w:id w:val="1572458772"/>
          <w:docPartObj>
            <w:docPartGallery w:val="Page Numbers (Bottom of Page)"/>
            <w:docPartUnique/>
          </w:docPartObj>
        </w:sdtPr>
        <w:sdtEndPr>
          <w:rPr>
            <w:b w:val="0"/>
          </w:rPr>
        </w:sdtEndPr>
        <w:sdtContent>
          <w:r w:rsidR="002E51BD" w:rsidRPr="00AE595D">
            <w:t>Abbreviations:</w:t>
          </w:r>
          <w:r w:rsidR="000F2E7E">
            <w:t xml:space="preserve"> ISCR = Improving Surgical Care and Recovery</w:t>
          </w:r>
        </w:sdtContent>
      </w:sdt>
    </w:p>
    <w:p w14:paraId="7E3FE784" w14:textId="77777777" w:rsidR="00D35F82" w:rsidRDefault="00D35F82">
      <w:pPr>
        <w:spacing w:after="160" w:line="259" w:lineRule="auto"/>
        <w:ind w:left="360" w:hanging="360"/>
        <w:rPr>
          <w:b/>
          <w:bCs/>
          <w:sz w:val="28"/>
          <w:szCs w:val="28"/>
        </w:rPr>
      </w:pPr>
      <w:bookmarkStart w:id="3" w:name="_Toc117000790"/>
      <w:r>
        <w:lastRenderedPageBreak/>
        <w:br w:type="page"/>
      </w:r>
    </w:p>
    <w:p w14:paraId="5DB25389" w14:textId="57A8B54B" w:rsidR="00873CFE" w:rsidRDefault="002F0586">
      <w:pPr>
        <w:pStyle w:val="Heading2"/>
      </w:pPr>
      <w:r>
        <w:lastRenderedPageBreak/>
        <w:t>Special Considerations for Elderly Patients</w:t>
      </w:r>
      <w:bookmarkEnd w:id="3"/>
    </w:p>
    <w:p w14:paraId="1D3B9FFD" w14:textId="7B15854A" w:rsidR="002F0586" w:rsidRDefault="002F0586" w:rsidP="00EC3092">
      <w:pPr>
        <w:pStyle w:val="BodyText1"/>
      </w:pPr>
      <w:r>
        <w:t>Elderly patients are at higher risk of surgical complications. All patients 65</w:t>
      </w:r>
      <w:r w:rsidR="00EB2453">
        <w:t xml:space="preserve"> years of age or older</w:t>
      </w:r>
      <w:r>
        <w:t xml:space="preserve"> should have advance care planning discussions prior to surgery. In addition, medications can have undesired side effects in the elderly and should be avoided</w:t>
      </w:r>
      <w:r w:rsidR="007F7C68">
        <w:t xml:space="preserve"> or carefully monitored</w:t>
      </w:r>
      <w:r>
        <w:t>.</w:t>
      </w:r>
      <w:r w:rsidR="002435FA" w:rsidRPr="002435FA">
        <w:rPr>
          <w:vertAlign w:val="superscript"/>
        </w:rPr>
        <w:t>1</w:t>
      </w:r>
      <w:r>
        <w:t xml:space="preserve"> If possible, discussions should also include the patient’s overall health goals, goals related to the current condition and treatment options, and risk of the operation including patient-centered outcomes.</w:t>
      </w:r>
    </w:p>
    <w:p w14:paraId="137571FF" w14:textId="03A75954" w:rsidR="002F0586" w:rsidRDefault="002F0586" w:rsidP="00EC3092">
      <w:pPr>
        <w:pStyle w:val="Bullet1"/>
      </w:pPr>
      <w:r w:rsidRPr="009B185A">
        <w:rPr>
          <w:i/>
        </w:rPr>
        <w:t xml:space="preserve">For elective procedures (colorectal, </w:t>
      </w:r>
      <w:r w:rsidR="006E7A7F">
        <w:rPr>
          <w:i/>
        </w:rPr>
        <w:t>hip and knee</w:t>
      </w:r>
      <w:r w:rsidRPr="009B185A">
        <w:rPr>
          <w:i/>
        </w:rPr>
        <w:t xml:space="preserve">, </w:t>
      </w:r>
      <w:r w:rsidR="00D7245F">
        <w:rPr>
          <w:i/>
        </w:rPr>
        <w:t>gynecologic</w:t>
      </w:r>
      <w:r w:rsidRPr="009B185A">
        <w:rPr>
          <w:i/>
        </w:rPr>
        <w:t>):</w:t>
      </w:r>
      <w:r>
        <w:t xml:space="preserve"> Advance care planning discussions should take place prior to admission if possible.</w:t>
      </w:r>
    </w:p>
    <w:p w14:paraId="1BA3093F" w14:textId="065DC76F" w:rsidR="002F0586" w:rsidRPr="00AE595D" w:rsidRDefault="002F0586" w:rsidP="00EC3092">
      <w:pPr>
        <w:pStyle w:val="Bullet1"/>
        <w:rPr>
          <w:b/>
        </w:rPr>
      </w:pPr>
      <w:r w:rsidRPr="009B185A">
        <w:rPr>
          <w:i/>
        </w:rPr>
        <w:t>For emergency procedures (hip fracture, appendectomy, cholecystectomy, major abdominal procedures):</w:t>
      </w:r>
      <w:r>
        <w:t xml:space="preserve"> Advance care planning discussions should take place upon admission</w:t>
      </w:r>
    </w:p>
    <w:tbl>
      <w:tblPr>
        <w:tblStyle w:val="GridTable1Light1"/>
        <w:tblW w:w="5002" w:type="pct"/>
        <w:tblLook w:val="0600" w:firstRow="0" w:lastRow="0" w:firstColumn="0" w:lastColumn="0" w:noHBand="1" w:noVBand="1"/>
      </w:tblPr>
      <w:tblGrid>
        <w:gridCol w:w="1884"/>
        <w:gridCol w:w="1894"/>
        <w:gridCol w:w="8377"/>
        <w:gridCol w:w="2802"/>
        <w:gridCol w:w="3318"/>
        <w:gridCol w:w="4764"/>
      </w:tblGrid>
      <w:tr w:rsidR="00873CFE" w:rsidRPr="00FD7FDA" w14:paraId="65CD5037" w14:textId="77777777" w:rsidTr="002435FA">
        <w:trPr>
          <w:cantSplit/>
          <w:trHeight w:val="973"/>
          <w:tblHeader/>
        </w:trPr>
        <w:tc>
          <w:tcPr>
            <w:tcW w:w="409" w:type="pct"/>
            <w:hideMark/>
          </w:tcPr>
          <w:p w14:paraId="58A685E9" w14:textId="74E38038" w:rsidR="00873CFE" w:rsidRPr="00FD7FDA" w:rsidRDefault="00873CFE" w:rsidP="002435FA">
            <w:pPr>
              <w:pStyle w:val="TableParagraph"/>
              <w:rPr>
                <w:rStyle w:val="Strong"/>
              </w:rPr>
            </w:pPr>
            <w:r w:rsidRPr="00FD7FDA">
              <w:rPr>
                <w:rStyle w:val="Strong"/>
              </w:rPr>
              <w:t xml:space="preserve">Pathway </w:t>
            </w:r>
          </w:p>
        </w:tc>
        <w:tc>
          <w:tcPr>
            <w:tcW w:w="411" w:type="pct"/>
            <w:hideMark/>
          </w:tcPr>
          <w:p w14:paraId="076C1530" w14:textId="77777777" w:rsidR="00873CFE" w:rsidRPr="00FD7FDA" w:rsidRDefault="00873CFE" w:rsidP="002435FA">
            <w:pPr>
              <w:pStyle w:val="TableParagraph"/>
              <w:rPr>
                <w:rStyle w:val="Strong"/>
              </w:rPr>
            </w:pPr>
            <w:r w:rsidRPr="00FD7FDA">
              <w:rPr>
                <w:rStyle w:val="Strong"/>
              </w:rPr>
              <w:t>Component</w:t>
            </w:r>
          </w:p>
        </w:tc>
        <w:tc>
          <w:tcPr>
            <w:tcW w:w="1818" w:type="pct"/>
            <w:hideMark/>
          </w:tcPr>
          <w:p w14:paraId="5875883C" w14:textId="56B88FDD" w:rsidR="009B185A" w:rsidRDefault="00873CFE" w:rsidP="002435FA">
            <w:pPr>
              <w:pStyle w:val="TableParagraph"/>
              <w:rPr>
                <w:rStyle w:val="Strong"/>
              </w:rPr>
            </w:pPr>
            <w:r w:rsidRPr="00FD7FDA">
              <w:rPr>
                <w:rStyle w:val="Strong"/>
              </w:rPr>
              <w:t xml:space="preserve">Example Processes </w:t>
            </w:r>
            <w:r w:rsidR="00B77AC9">
              <w:rPr>
                <w:rStyle w:val="Strong"/>
              </w:rPr>
              <w:t>T</w:t>
            </w:r>
            <w:r w:rsidRPr="00FD7FDA">
              <w:rPr>
                <w:rStyle w:val="Strong"/>
              </w:rPr>
              <w:t>o Consider</w:t>
            </w:r>
          </w:p>
          <w:p w14:paraId="2FF84FAC" w14:textId="77777777" w:rsidR="00873CFE" w:rsidRPr="009B185A" w:rsidRDefault="00873CFE" w:rsidP="002435FA">
            <w:pPr>
              <w:pStyle w:val="TableParagraph"/>
              <w:rPr>
                <w:rStyle w:val="Strong"/>
                <w:b w:val="0"/>
                <w:i/>
              </w:rPr>
            </w:pPr>
            <w:r w:rsidRPr="009B185A">
              <w:rPr>
                <w:rStyle w:val="Strong"/>
                <w:b w:val="0"/>
                <w:i/>
              </w:rPr>
              <w:t>As a team, go through each component and discuss what approach best fits your hospital. It may be an option other than what is listed below.</w:t>
            </w:r>
          </w:p>
        </w:tc>
        <w:tc>
          <w:tcPr>
            <w:tcW w:w="608" w:type="pct"/>
            <w:hideMark/>
          </w:tcPr>
          <w:p w14:paraId="64154636" w14:textId="77777777" w:rsidR="00873CFE" w:rsidRPr="00FD7FDA" w:rsidRDefault="00873CFE" w:rsidP="002435FA">
            <w:pPr>
              <w:pStyle w:val="TableParagraph"/>
              <w:rPr>
                <w:rStyle w:val="Strong"/>
              </w:rPr>
            </w:pPr>
            <w:r w:rsidRPr="00FD7FDA">
              <w:rPr>
                <w:rStyle w:val="Strong"/>
              </w:rPr>
              <w:t>Team Decisions/Notes</w:t>
            </w:r>
          </w:p>
          <w:p w14:paraId="1F335F75" w14:textId="77777777" w:rsidR="00873CFE" w:rsidRPr="009B185A" w:rsidRDefault="00873CFE" w:rsidP="002435FA">
            <w:pPr>
              <w:pStyle w:val="TableParagraph"/>
              <w:rPr>
                <w:rStyle w:val="Strong"/>
                <w:b w:val="0"/>
                <w:i/>
              </w:rPr>
            </w:pPr>
            <w:r w:rsidRPr="009B185A">
              <w:rPr>
                <w:rStyle w:val="Strong"/>
                <w:b w:val="0"/>
                <w:i/>
              </w:rPr>
              <w:t>As a team, note exceptions and contraindications to the treatment or medications.</w:t>
            </w:r>
          </w:p>
        </w:tc>
        <w:tc>
          <w:tcPr>
            <w:tcW w:w="720" w:type="pct"/>
            <w:hideMark/>
          </w:tcPr>
          <w:p w14:paraId="10E1DD2E" w14:textId="5B4BAB8A" w:rsidR="00873CFE" w:rsidRPr="00FD7FDA" w:rsidRDefault="00AA140E" w:rsidP="002435FA">
            <w:pPr>
              <w:pStyle w:val="TableParagraph"/>
              <w:rPr>
                <w:rStyle w:val="Strong"/>
              </w:rPr>
            </w:pPr>
            <w:r>
              <w:rPr>
                <w:rStyle w:val="Strong"/>
              </w:rPr>
              <w:t xml:space="preserve">Other Available Resources </w:t>
            </w:r>
            <w:r w:rsidR="00B77AC9">
              <w:rPr>
                <w:rStyle w:val="Strong"/>
              </w:rPr>
              <w:t>and</w:t>
            </w:r>
            <w:r>
              <w:rPr>
                <w:rStyle w:val="Strong"/>
              </w:rPr>
              <w:t xml:space="preserve"> Tips </w:t>
            </w:r>
            <w:r w:rsidR="00B77AC9">
              <w:rPr>
                <w:rStyle w:val="Strong"/>
              </w:rPr>
              <w:t>T</w:t>
            </w:r>
            <w:r>
              <w:rPr>
                <w:rStyle w:val="Strong"/>
              </w:rPr>
              <w:t>o Consider</w:t>
            </w:r>
          </w:p>
        </w:tc>
        <w:tc>
          <w:tcPr>
            <w:tcW w:w="1035" w:type="pct"/>
            <w:hideMark/>
          </w:tcPr>
          <w:p w14:paraId="43EEE0BD" w14:textId="77777777" w:rsidR="00873CFE" w:rsidRDefault="00D63FC9" w:rsidP="002435FA">
            <w:pPr>
              <w:pStyle w:val="TableParagraph"/>
              <w:rPr>
                <w:rStyle w:val="Strong"/>
              </w:rPr>
            </w:pPr>
            <w:r w:rsidRPr="00D63FC9">
              <w:rPr>
                <w:rStyle w:val="Strong"/>
              </w:rPr>
              <w:t>ISCR Measures</w:t>
            </w:r>
          </w:p>
          <w:p w14:paraId="3E3080E3" w14:textId="77777777" w:rsidR="00745B3F" w:rsidRPr="00745B3F" w:rsidRDefault="00745B3F" w:rsidP="002435FA">
            <w:pPr>
              <w:pStyle w:val="TableParagraph"/>
              <w:rPr>
                <w:rStyle w:val="Strong"/>
                <w:i/>
              </w:rPr>
            </w:pPr>
            <w:r w:rsidRPr="009733EE">
              <w:rPr>
                <w:bCs/>
                <w:i/>
              </w:rPr>
              <w:t>As a team, decide on specific and standardized measures you can track at your hospital. It may be helpful to record your definitions here.</w:t>
            </w:r>
          </w:p>
        </w:tc>
      </w:tr>
      <w:tr w:rsidR="00873CFE" w:rsidRPr="00AE595D" w14:paraId="11C9A6FB" w14:textId="77777777" w:rsidTr="002435FA">
        <w:trPr>
          <w:cantSplit/>
          <w:trHeight w:val="1009"/>
        </w:trPr>
        <w:tc>
          <w:tcPr>
            <w:tcW w:w="409" w:type="pct"/>
            <w:hideMark/>
          </w:tcPr>
          <w:p w14:paraId="108B4053" w14:textId="77777777" w:rsidR="00873CFE" w:rsidRPr="007C174E" w:rsidRDefault="008530DC" w:rsidP="002435FA">
            <w:pPr>
              <w:pStyle w:val="TableParagraph"/>
              <w:rPr>
                <w:b/>
              </w:rPr>
            </w:pPr>
            <w:r w:rsidRPr="007C174E">
              <w:rPr>
                <w:b/>
              </w:rPr>
              <w:t xml:space="preserve">All </w:t>
            </w:r>
            <w:r w:rsidR="004F6155" w:rsidRPr="007C174E">
              <w:rPr>
                <w:b/>
              </w:rPr>
              <w:t xml:space="preserve">ISCR </w:t>
            </w:r>
            <w:r w:rsidRPr="007C174E">
              <w:rPr>
                <w:b/>
              </w:rPr>
              <w:t>Pathways</w:t>
            </w:r>
          </w:p>
        </w:tc>
        <w:tc>
          <w:tcPr>
            <w:tcW w:w="411" w:type="pct"/>
            <w:hideMark/>
          </w:tcPr>
          <w:p w14:paraId="492F6AAC" w14:textId="0100B9C9" w:rsidR="00873CFE" w:rsidRPr="007C174E" w:rsidRDefault="00873CFE" w:rsidP="002435FA">
            <w:pPr>
              <w:pStyle w:val="TableParagraph"/>
              <w:rPr>
                <w:b/>
              </w:rPr>
            </w:pPr>
            <w:r w:rsidRPr="007C174E">
              <w:rPr>
                <w:b/>
              </w:rPr>
              <w:t>Goals and Decision</w:t>
            </w:r>
            <w:r w:rsidR="00B77AC9">
              <w:rPr>
                <w:b/>
              </w:rPr>
              <w:t xml:space="preserve"> </w:t>
            </w:r>
            <w:r w:rsidRPr="007C174E">
              <w:rPr>
                <w:b/>
              </w:rPr>
              <w:t xml:space="preserve">Making for </w:t>
            </w:r>
            <w:r w:rsidR="002F0586" w:rsidRPr="007C174E">
              <w:rPr>
                <w:b/>
              </w:rPr>
              <w:t>Elderly</w:t>
            </w:r>
            <w:r w:rsidRPr="007C174E">
              <w:rPr>
                <w:b/>
              </w:rPr>
              <w:t xml:space="preserve"> Patients</w:t>
            </w:r>
          </w:p>
          <w:p w14:paraId="3B1C1D01" w14:textId="77777777" w:rsidR="00873CFE" w:rsidRPr="007C174E" w:rsidRDefault="00873CFE" w:rsidP="002435FA">
            <w:pPr>
              <w:pStyle w:val="TableParagraph"/>
              <w:rPr>
                <w:b/>
              </w:rPr>
            </w:pPr>
          </w:p>
        </w:tc>
        <w:tc>
          <w:tcPr>
            <w:tcW w:w="1818" w:type="pct"/>
            <w:hideMark/>
          </w:tcPr>
          <w:p w14:paraId="40918502" w14:textId="77777777" w:rsidR="00783336" w:rsidRPr="007C174E" w:rsidRDefault="00783336" w:rsidP="007C174E">
            <w:pPr>
              <w:spacing w:after="120" w:line="240" w:lineRule="auto"/>
              <w:rPr>
                <w:rFonts w:eastAsia="Times New Roman" w:cs="Times New Roman"/>
                <w:b/>
                <w:color w:val="000000"/>
              </w:rPr>
            </w:pPr>
            <w:r w:rsidRPr="007C174E">
              <w:rPr>
                <w:rFonts w:eastAsia="Times New Roman" w:cs="Times New Roman"/>
                <w:b/>
                <w:color w:val="000000"/>
              </w:rPr>
              <w:t>Recommended approach:</w:t>
            </w:r>
          </w:p>
          <w:p w14:paraId="29A868CE" w14:textId="2C261A26" w:rsidR="00873CFE" w:rsidRPr="00AE595D" w:rsidRDefault="00783336" w:rsidP="002435FA">
            <w:pPr>
              <w:pStyle w:val="TableParagraph"/>
              <w:rPr>
                <w:rFonts w:eastAsia="Times New Roman" w:cs="Times New Roman"/>
              </w:rPr>
            </w:pPr>
            <w:r w:rsidRPr="00AE595D">
              <w:rPr>
                <w:color w:val="000000"/>
              </w:rPr>
              <w:t xml:space="preserve">The Coalition for Quality in Geriatric Surgery recommends </w:t>
            </w:r>
            <w:proofErr w:type="spellStart"/>
            <w:r w:rsidRPr="00AE595D">
              <w:rPr>
                <w:color w:val="000000"/>
              </w:rPr>
              <w:t>presurgery</w:t>
            </w:r>
            <w:proofErr w:type="spellEnd"/>
            <w:r w:rsidRPr="00AE595D">
              <w:rPr>
                <w:color w:val="000000"/>
              </w:rPr>
              <w:t xml:space="preserve"> discussion of the patient’s overall health goals, as well as those related to the current condition and treatment options, risk</w:t>
            </w:r>
            <w:r w:rsidR="005A7196">
              <w:rPr>
                <w:color w:val="000000"/>
              </w:rPr>
              <w:t>s</w:t>
            </w:r>
            <w:r w:rsidRPr="00AE595D">
              <w:rPr>
                <w:color w:val="000000"/>
              </w:rPr>
              <w:t xml:space="preserve"> of the operation including patient-centered outcomes, and advance care planning.</w:t>
            </w:r>
          </w:p>
        </w:tc>
        <w:tc>
          <w:tcPr>
            <w:tcW w:w="608" w:type="pct"/>
            <w:hideMark/>
          </w:tcPr>
          <w:p w14:paraId="3CC980D3" w14:textId="53CCDDD4" w:rsidR="00873CFE" w:rsidRPr="00AE595D" w:rsidRDefault="00001AAC" w:rsidP="002435FA">
            <w:pPr>
              <w:pStyle w:val="TableParagraph"/>
            </w:pPr>
            <w:r w:rsidRPr="007C7841">
              <w:rPr>
                <w:rFonts w:eastAsia="Times New Roman" w:cs="Times New Roman"/>
                <w:i/>
                <w:color w:val="000000"/>
              </w:rPr>
              <w:t xml:space="preserve">Enter </w:t>
            </w:r>
            <w:r w:rsidR="00CF4145">
              <w:rPr>
                <w:rFonts w:eastAsia="Times New Roman" w:cs="Times New Roman"/>
                <w:i/>
                <w:color w:val="000000"/>
              </w:rPr>
              <w:t xml:space="preserve">team decisions/notes </w:t>
            </w:r>
            <w:r w:rsidRPr="007C7841">
              <w:rPr>
                <w:rFonts w:eastAsia="Times New Roman" w:cs="Times New Roman"/>
                <w:i/>
                <w:color w:val="000000"/>
              </w:rPr>
              <w:t>here</w:t>
            </w:r>
          </w:p>
        </w:tc>
        <w:tc>
          <w:tcPr>
            <w:tcW w:w="720" w:type="pct"/>
            <w:hideMark/>
          </w:tcPr>
          <w:p w14:paraId="195FFE43" w14:textId="77777777" w:rsidR="00873CFE" w:rsidRPr="00AE595D" w:rsidRDefault="002A3A71" w:rsidP="002435FA">
            <w:pPr>
              <w:pStyle w:val="TableParagraph"/>
            </w:pPr>
            <w:r>
              <w:t xml:space="preserve">Resource: </w:t>
            </w:r>
            <w:r w:rsidR="004E649F" w:rsidRPr="004E649F">
              <w:t>Hospital Standards to Promote Optimal Surgical Care of the Older Adult</w:t>
            </w:r>
            <w:r w:rsidRPr="00890EAD">
              <w:rPr>
                <w:vertAlign w:val="superscript"/>
              </w:rPr>
              <w:t>2</w:t>
            </w:r>
          </w:p>
        </w:tc>
        <w:tc>
          <w:tcPr>
            <w:tcW w:w="1035" w:type="pct"/>
            <w:hideMark/>
          </w:tcPr>
          <w:p w14:paraId="12AA217E" w14:textId="51780C26" w:rsidR="00873CFE" w:rsidRPr="00AE595D" w:rsidRDefault="00873CFE" w:rsidP="002435FA">
            <w:pPr>
              <w:pStyle w:val="TableParagraph"/>
            </w:pPr>
            <w:r w:rsidRPr="00AE595D">
              <w:t xml:space="preserve">Evidence </w:t>
            </w:r>
            <w:r w:rsidR="00945FE8" w:rsidRPr="00AE595D">
              <w:t xml:space="preserve">of advanced care planning </w:t>
            </w:r>
            <w:r w:rsidR="00E75D7D">
              <w:t>(patients 65</w:t>
            </w:r>
            <w:r w:rsidR="00EB2453">
              <w:t xml:space="preserve"> years of age</w:t>
            </w:r>
            <w:r w:rsidR="000F2E7E">
              <w:t xml:space="preserve"> </w:t>
            </w:r>
            <w:r w:rsidR="00EB2453">
              <w:t>or</w:t>
            </w:r>
            <w:r w:rsidR="00E75D7D">
              <w:t xml:space="preserve"> older)</w:t>
            </w:r>
          </w:p>
          <w:p w14:paraId="23D38763" w14:textId="77777777" w:rsidR="00B25EA2" w:rsidRPr="00AE595D" w:rsidRDefault="00B25EA2" w:rsidP="002435FA">
            <w:pPr>
              <w:pStyle w:val="TableParagraph"/>
              <w:rPr>
                <w:i/>
                <w:color w:val="000000"/>
              </w:rPr>
            </w:pPr>
          </w:p>
          <w:p w14:paraId="04FDA5AE" w14:textId="77777777" w:rsidR="00873CFE" w:rsidRPr="00AE595D" w:rsidRDefault="00873CFE" w:rsidP="002435FA">
            <w:pPr>
              <w:pStyle w:val="TableParagraph"/>
            </w:pPr>
            <w:r w:rsidRPr="00AE595D">
              <w:rPr>
                <w:i/>
                <w:color w:val="000000"/>
              </w:rPr>
              <w:t xml:space="preserve"> </w:t>
            </w:r>
          </w:p>
        </w:tc>
      </w:tr>
      <w:tr w:rsidR="00252FBE" w:rsidRPr="00AE595D" w14:paraId="3A61CC6E" w14:textId="77777777" w:rsidTr="002435FA">
        <w:trPr>
          <w:cantSplit/>
          <w:trHeight w:val="1009"/>
        </w:trPr>
        <w:tc>
          <w:tcPr>
            <w:tcW w:w="409" w:type="pct"/>
          </w:tcPr>
          <w:p w14:paraId="0017A974" w14:textId="77777777" w:rsidR="00252FBE" w:rsidRPr="007C174E" w:rsidRDefault="008530DC" w:rsidP="00FD7FDA">
            <w:pPr>
              <w:pStyle w:val="TableParagraph"/>
              <w:rPr>
                <w:b/>
              </w:rPr>
            </w:pPr>
            <w:r w:rsidRPr="007C174E">
              <w:rPr>
                <w:b/>
              </w:rPr>
              <w:t xml:space="preserve">All </w:t>
            </w:r>
            <w:r w:rsidR="004F6155" w:rsidRPr="007C174E">
              <w:rPr>
                <w:b/>
              </w:rPr>
              <w:t xml:space="preserve">ISCR </w:t>
            </w:r>
            <w:r w:rsidRPr="007C174E">
              <w:rPr>
                <w:b/>
              </w:rPr>
              <w:t>Pathways</w:t>
            </w:r>
          </w:p>
        </w:tc>
        <w:tc>
          <w:tcPr>
            <w:tcW w:w="411" w:type="pct"/>
          </w:tcPr>
          <w:p w14:paraId="26CC7872" w14:textId="4CC5FE21" w:rsidR="00252FBE" w:rsidRPr="007C174E" w:rsidRDefault="00252FBE" w:rsidP="002435FA">
            <w:pPr>
              <w:pStyle w:val="TableParagraph"/>
              <w:rPr>
                <w:b/>
              </w:rPr>
            </w:pPr>
            <w:r w:rsidRPr="007C174E">
              <w:rPr>
                <w:b/>
              </w:rPr>
              <w:t xml:space="preserve">Care for Elderly </w:t>
            </w:r>
            <w:r w:rsidR="002F0586" w:rsidRPr="007C174E">
              <w:rPr>
                <w:b/>
              </w:rPr>
              <w:t>Patients</w:t>
            </w:r>
          </w:p>
        </w:tc>
        <w:tc>
          <w:tcPr>
            <w:tcW w:w="1818" w:type="pct"/>
          </w:tcPr>
          <w:p w14:paraId="0D3574D3" w14:textId="77777777" w:rsidR="00252FBE" w:rsidRPr="007C174E" w:rsidRDefault="00252FBE" w:rsidP="007C174E">
            <w:pPr>
              <w:spacing w:after="120" w:line="240" w:lineRule="auto"/>
              <w:rPr>
                <w:rFonts w:eastAsia="Times New Roman" w:cs="Times New Roman"/>
                <w:b/>
                <w:color w:val="000000"/>
              </w:rPr>
            </w:pPr>
            <w:r w:rsidRPr="007C174E">
              <w:rPr>
                <w:rFonts w:eastAsia="Times New Roman" w:cs="Times New Roman"/>
                <w:b/>
                <w:color w:val="000000"/>
              </w:rPr>
              <w:t>Recommended approach:</w:t>
            </w:r>
          </w:p>
          <w:p w14:paraId="56CF87BC" w14:textId="62B323C5" w:rsidR="00252FBE" w:rsidRPr="00AE595D" w:rsidRDefault="00252FBE" w:rsidP="00FD7FDA">
            <w:pPr>
              <w:pStyle w:val="Bullet1"/>
            </w:pPr>
            <w:r w:rsidRPr="00AE595D">
              <w:t xml:space="preserve">Discuss advance care planning for all patients </w:t>
            </w:r>
            <w:r w:rsidR="00EB2453" w:rsidRPr="00EB2453">
              <w:t>65 years of age or older</w:t>
            </w:r>
            <w:r w:rsidRPr="00AE595D">
              <w:t>.</w:t>
            </w:r>
          </w:p>
          <w:p w14:paraId="72972344" w14:textId="7B9A55A2" w:rsidR="00252FBE" w:rsidRPr="00AE595D" w:rsidRDefault="00252FBE" w:rsidP="00FD7FDA">
            <w:pPr>
              <w:pStyle w:val="Bullet1"/>
            </w:pPr>
            <w:r w:rsidRPr="00AE595D">
              <w:t>Avoid using medications that may have harmful side effects in the elderly (</w:t>
            </w:r>
            <w:r w:rsidR="00282FBC">
              <w:t xml:space="preserve">e.g., </w:t>
            </w:r>
            <w:r w:rsidRPr="00AE595D">
              <w:t xml:space="preserve">antihistamines, </w:t>
            </w:r>
            <w:proofErr w:type="spellStart"/>
            <w:r w:rsidRPr="00AE595D">
              <w:t>gabapentinoids</w:t>
            </w:r>
            <w:proofErr w:type="spellEnd"/>
            <w:r w:rsidRPr="00AE595D">
              <w:t>, antispasmodics)</w:t>
            </w:r>
            <w:r w:rsidRPr="0019570D">
              <w:t>.</w:t>
            </w:r>
            <w:r w:rsidR="00D17D09" w:rsidRPr="0019570D">
              <w:rPr>
                <w:vertAlign w:val="superscript"/>
              </w:rPr>
              <w:t>1</w:t>
            </w:r>
          </w:p>
          <w:p w14:paraId="2B30DE17" w14:textId="75296A1A" w:rsidR="00252FBE" w:rsidRPr="00AE595D" w:rsidRDefault="00252FBE" w:rsidP="00FD7FDA">
            <w:pPr>
              <w:pStyle w:val="Bullet1"/>
            </w:pPr>
            <w:r w:rsidRPr="00AE595D">
              <w:t>Delirium precautions should be initiated for patients at high risk of developing delirium</w:t>
            </w:r>
          </w:p>
          <w:p w14:paraId="0CC4F1E6" w14:textId="77777777" w:rsidR="00252FBE" w:rsidRPr="00AE595D" w:rsidRDefault="00252FBE" w:rsidP="00FD7FDA">
            <w:pPr>
              <w:pStyle w:val="Bullet1"/>
            </w:pPr>
            <w:r w:rsidRPr="00AE595D">
              <w:t>Keep patient awake and alert during the day</w:t>
            </w:r>
          </w:p>
          <w:p w14:paraId="7A80BA5A" w14:textId="77777777" w:rsidR="00252FBE" w:rsidRPr="00AE595D" w:rsidRDefault="00252FBE" w:rsidP="00FD7FDA">
            <w:pPr>
              <w:pStyle w:val="Bullet1"/>
            </w:pPr>
            <w:r w:rsidRPr="00AE595D">
              <w:t>Provide glasses and hearing aids when applicable</w:t>
            </w:r>
          </w:p>
          <w:p w14:paraId="3779F892" w14:textId="77777777" w:rsidR="00252FBE" w:rsidRPr="00AE595D" w:rsidRDefault="00252FBE" w:rsidP="00FD7FDA">
            <w:pPr>
              <w:pStyle w:val="Bullet1"/>
            </w:pPr>
            <w:r w:rsidRPr="00AE595D">
              <w:t>Provide familiar items</w:t>
            </w:r>
            <w:r w:rsidR="007D510C">
              <w:t xml:space="preserve"> (e.g., bathrobe)</w:t>
            </w:r>
            <w:r w:rsidRPr="00AE595D">
              <w:t xml:space="preserve"> from home</w:t>
            </w:r>
          </w:p>
          <w:p w14:paraId="5D41C5D7" w14:textId="77777777" w:rsidR="00252FBE" w:rsidRPr="00AE595D" w:rsidRDefault="00252FBE" w:rsidP="00FD7FDA">
            <w:pPr>
              <w:pStyle w:val="Bullet1"/>
            </w:pPr>
            <w:r w:rsidRPr="00AE595D">
              <w:t>Keep water within reach</w:t>
            </w:r>
          </w:p>
          <w:p w14:paraId="3F4FA9EA" w14:textId="77777777" w:rsidR="00252FBE" w:rsidRPr="00AE595D" w:rsidRDefault="00252FBE" w:rsidP="00FD7FDA">
            <w:pPr>
              <w:pStyle w:val="Bullet1"/>
            </w:pPr>
            <w:r w:rsidRPr="00AE595D">
              <w:t>Open the room shades during the day</w:t>
            </w:r>
          </w:p>
          <w:p w14:paraId="6E36438E" w14:textId="77777777" w:rsidR="00252FBE" w:rsidRPr="00AE595D" w:rsidRDefault="00252FBE" w:rsidP="00FD7FDA">
            <w:pPr>
              <w:pStyle w:val="Bullet1"/>
            </w:pPr>
            <w:r w:rsidRPr="00AE595D">
              <w:t>Turn the television off in the evening</w:t>
            </w:r>
          </w:p>
          <w:p w14:paraId="32CA9EB7" w14:textId="77777777" w:rsidR="00252FBE" w:rsidRPr="00AE595D" w:rsidRDefault="00252FBE" w:rsidP="00FD7FDA">
            <w:pPr>
              <w:pStyle w:val="Bullet1"/>
            </w:pPr>
            <w:r w:rsidRPr="00AE595D">
              <w:t xml:space="preserve">Develop early alert systems for </w:t>
            </w:r>
            <w:r w:rsidR="005A27D0">
              <w:t xml:space="preserve">identifying and acting on </w:t>
            </w:r>
            <w:r w:rsidRPr="00AE595D">
              <w:t>changes in behavior</w:t>
            </w:r>
          </w:p>
        </w:tc>
        <w:tc>
          <w:tcPr>
            <w:tcW w:w="608" w:type="pct"/>
          </w:tcPr>
          <w:p w14:paraId="22379D56" w14:textId="21626974" w:rsidR="00252FBE" w:rsidRPr="00AE595D" w:rsidRDefault="00001AAC" w:rsidP="002435FA">
            <w:pPr>
              <w:pStyle w:val="TableParagraph"/>
            </w:pPr>
            <w:r w:rsidRPr="007C7841">
              <w:rPr>
                <w:rFonts w:eastAsia="Times New Roman" w:cs="Times New Roman"/>
                <w:i/>
                <w:color w:val="000000"/>
              </w:rPr>
              <w:t xml:space="preserve">Enter </w:t>
            </w:r>
            <w:r w:rsidR="00CF4145">
              <w:rPr>
                <w:rFonts w:eastAsia="Times New Roman" w:cs="Times New Roman"/>
                <w:i/>
                <w:color w:val="000000"/>
              </w:rPr>
              <w:t xml:space="preserve">team decisions/notes </w:t>
            </w:r>
            <w:r w:rsidRPr="007C7841">
              <w:rPr>
                <w:rFonts w:eastAsia="Times New Roman" w:cs="Times New Roman"/>
                <w:i/>
                <w:color w:val="000000"/>
              </w:rPr>
              <w:t>here</w:t>
            </w:r>
          </w:p>
        </w:tc>
        <w:tc>
          <w:tcPr>
            <w:tcW w:w="720" w:type="pct"/>
          </w:tcPr>
          <w:p w14:paraId="4A9BB153" w14:textId="6AD41C5D" w:rsidR="00252FBE" w:rsidRDefault="003023A5" w:rsidP="002435FA">
            <w:pPr>
              <w:pStyle w:val="TableParagraph"/>
            </w:pPr>
            <w:r>
              <w:rPr>
                <w:rStyle w:val="Strong"/>
              </w:rPr>
              <w:t>Tip</w:t>
            </w:r>
            <w:r w:rsidR="00252FBE" w:rsidRPr="00FD7FDA">
              <w:rPr>
                <w:rStyle w:val="Strong"/>
              </w:rPr>
              <w:t>:</w:t>
            </w:r>
            <w:r w:rsidR="00252FBE" w:rsidRPr="00AE595D">
              <w:t xml:space="preserve"> Include documentation of code status </w:t>
            </w:r>
            <w:r w:rsidR="00510A0F">
              <w:t xml:space="preserve">as </w:t>
            </w:r>
            <w:r w:rsidR="00252FBE" w:rsidRPr="00AE595D">
              <w:t>part of the admission order set.</w:t>
            </w:r>
          </w:p>
          <w:p w14:paraId="51EEA920" w14:textId="77777777" w:rsidR="007D510C" w:rsidRDefault="007D510C" w:rsidP="002435FA">
            <w:pPr>
              <w:pStyle w:val="TableParagraph"/>
            </w:pPr>
          </w:p>
          <w:p w14:paraId="4BDB00A6" w14:textId="0D7034C1" w:rsidR="007D510C" w:rsidRDefault="007D510C" w:rsidP="002435FA">
            <w:pPr>
              <w:pStyle w:val="TableParagraph"/>
            </w:pPr>
            <w:r w:rsidRPr="00083C88">
              <w:rPr>
                <w:b/>
              </w:rPr>
              <w:t>Tip</w:t>
            </w:r>
            <w:r>
              <w:t xml:space="preserve">: </w:t>
            </w:r>
            <w:r w:rsidR="00FB4D11">
              <w:t>T</w:t>
            </w:r>
            <w:r>
              <w:t>o help keep patients awake and alert during the day, engage family members, ancillary staff (e.g., dieticians and housekeeping)</w:t>
            </w:r>
            <w:r w:rsidR="008A4CA8">
              <w:t>.</w:t>
            </w:r>
          </w:p>
          <w:p w14:paraId="2BB4B9D8" w14:textId="77777777" w:rsidR="007D510C" w:rsidRPr="00AE595D" w:rsidRDefault="007D510C" w:rsidP="002435FA">
            <w:pPr>
              <w:pStyle w:val="TableParagraph"/>
            </w:pPr>
            <w:r>
              <w:t xml:space="preserve"> </w:t>
            </w:r>
          </w:p>
        </w:tc>
        <w:tc>
          <w:tcPr>
            <w:tcW w:w="1035" w:type="pct"/>
          </w:tcPr>
          <w:p w14:paraId="4F4A6FA1" w14:textId="4D86AEDE" w:rsidR="006E13C9" w:rsidRPr="00AE595D" w:rsidRDefault="00252FBE" w:rsidP="002435FA">
            <w:pPr>
              <w:pStyle w:val="TableParagraph"/>
            </w:pPr>
            <w:r w:rsidRPr="00AE595D">
              <w:t xml:space="preserve">Evidence of </w:t>
            </w:r>
            <w:r w:rsidR="00945FE8" w:rsidRPr="00AE595D">
              <w:t>advanced care planning</w:t>
            </w:r>
            <w:r w:rsidR="00E75D7D">
              <w:t xml:space="preserve"> (patients 65 </w:t>
            </w:r>
            <w:r w:rsidR="00EB2453">
              <w:t xml:space="preserve">years of age or </w:t>
            </w:r>
            <w:r w:rsidR="00E75D7D">
              <w:t>older)</w:t>
            </w:r>
          </w:p>
          <w:p w14:paraId="75A95D5C" w14:textId="73F620A8" w:rsidR="00945FE8" w:rsidRDefault="00945FE8" w:rsidP="002435FA">
            <w:pPr>
              <w:pStyle w:val="TableParagraph"/>
            </w:pPr>
            <w:r>
              <w:t xml:space="preserve">Preoperative (preop) </w:t>
            </w:r>
            <w:r w:rsidRPr="00945FE8">
              <w:t>delirium</w:t>
            </w:r>
            <w:r w:rsidR="007D510C">
              <w:t xml:space="preserve"> screening</w:t>
            </w:r>
            <w:r w:rsidRPr="00945FE8">
              <w:t xml:space="preserve"> </w:t>
            </w:r>
            <w:r w:rsidR="00E75D7D">
              <w:t>(patients 65</w:t>
            </w:r>
            <w:r w:rsidR="00EB2453">
              <w:t xml:space="preserve"> years of age or </w:t>
            </w:r>
            <w:r w:rsidR="00E75D7D">
              <w:t>older)</w:t>
            </w:r>
          </w:p>
          <w:p w14:paraId="7D6F8582" w14:textId="0576FECD" w:rsidR="006E13C9" w:rsidRPr="00AE595D" w:rsidRDefault="00945FE8" w:rsidP="002435FA">
            <w:pPr>
              <w:pStyle w:val="TableParagraph"/>
            </w:pPr>
            <w:r>
              <w:t>Postoperative (p</w:t>
            </w:r>
            <w:r w:rsidR="006E13C9" w:rsidRPr="00AE595D">
              <w:t>ostop</w:t>
            </w:r>
            <w:r>
              <w:t>)</w:t>
            </w:r>
            <w:r w:rsidR="006E13C9" w:rsidRPr="00AE595D">
              <w:t xml:space="preserve"> </w:t>
            </w:r>
            <w:r>
              <w:t>d</w:t>
            </w:r>
            <w:r w:rsidR="006E13C9" w:rsidRPr="00AE595D">
              <w:t>elirium</w:t>
            </w:r>
            <w:r w:rsidR="007D510C">
              <w:t xml:space="preserve"> screening</w:t>
            </w:r>
            <w:r w:rsidR="005022B9">
              <w:t xml:space="preserve"> </w:t>
            </w:r>
            <w:r w:rsidR="00E75D7D">
              <w:t>(patients 65</w:t>
            </w:r>
            <w:r w:rsidR="00EB2453">
              <w:t xml:space="preserve"> years of age</w:t>
            </w:r>
            <w:r w:rsidR="000F2E7E">
              <w:t xml:space="preserve"> </w:t>
            </w:r>
            <w:r w:rsidR="00EB2453">
              <w:t>or</w:t>
            </w:r>
            <w:r w:rsidR="00E75D7D">
              <w:t xml:space="preserve"> older)</w:t>
            </w:r>
          </w:p>
        </w:tc>
      </w:tr>
    </w:tbl>
    <w:p w14:paraId="54EC69B5" w14:textId="3A51CDC1" w:rsidR="0021724D" w:rsidRDefault="00D17D09" w:rsidP="004D6710">
      <w:pPr>
        <w:pStyle w:val="BodyText1"/>
        <w:spacing w:after="120" w:line="240" w:lineRule="auto"/>
        <w:ind w:left="180" w:hanging="180"/>
      </w:pPr>
      <w:r w:rsidRPr="0019570D">
        <w:t>1</w:t>
      </w:r>
      <w:r w:rsidRPr="00AE595D">
        <w:t xml:space="preserve"> American Geriatrics Society. American Geriatrics Society 2019 Updated Beers Criteria for Potentially Inappropriate Medication Use in Older Adults. J Am </w:t>
      </w:r>
      <w:proofErr w:type="spellStart"/>
      <w:r w:rsidRPr="00AE595D">
        <w:t>Geriatr</w:t>
      </w:r>
      <w:proofErr w:type="spellEnd"/>
      <w:r w:rsidRPr="00AE595D">
        <w:t xml:space="preserve"> Soc. </w:t>
      </w:r>
      <w:r w:rsidR="00021FEC">
        <w:t>2019;</w:t>
      </w:r>
      <w:r w:rsidRPr="00AE595D">
        <w:t>67(4)</w:t>
      </w:r>
      <w:r w:rsidR="00021FEC">
        <w:t>:</w:t>
      </w:r>
      <w:r w:rsidRPr="00AE595D">
        <w:t>674-94.</w:t>
      </w:r>
    </w:p>
    <w:p w14:paraId="76BC93A3" w14:textId="6F4F2A0B" w:rsidR="00CA4DEA" w:rsidRDefault="002A3A71" w:rsidP="004D6710">
      <w:pPr>
        <w:spacing w:after="120" w:line="240" w:lineRule="auto"/>
        <w:ind w:left="180" w:hanging="180"/>
        <w:rPr>
          <w:b/>
          <w:bCs/>
          <w:sz w:val="28"/>
          <w:szCs w:val="28"/>
        </w:rPr>
      </w:pPr>
      <w:r>
        <w:t xml:space="preserve">2 </w:t>
      </w:r>
      <w:r w:rsidRPr="002A3A71">
        <w:t xml:space="preserve">Berian JR, Rosenthal RA, Baker TL, </w:t>
      </w:r>
      <w:r>
        <w:t>et al</w:t>
      </w:r>
      <w:r w:rsidRPr="002A3A71">
        <w:t>. Hospital</w:t>
      </w:r>
      <w:r w:rsidR="005F22B3" w:rsidRPr="002A3A71">
        <w:t xml:space="preserve"> standards to promote optimal surgical care of the older adult: a report from</w:t>
      </w:r>
      <w:r w:rsidRPr="002A3A71">
        <w:t xml:space="preserve"> the Coalition for Quality in Geriatric Surgery. Ann Surg. 2018 Feb;267(2):280-90. </w:t>
      </w:r>
      <w:proofErr w:type="spellStart"/>
      <w:r w:rsidRPr="002A3A71">
        <w:t>doi</w:t>
      </w:r>
      <w:proofErr w:type="spellEnd"/>
      <w:r w:rsidRPr="002A3A71">
        <w:t>: 10.1097/SLA.0000000000002185. PMID: 28277408.</w:t>
      </w:r>
      <w:r w:rsidR="00CA4DEA">
        <w:br w:type="page"/>
      </w:r>
    </w:p>
    <w:p w14:paraId="3B78C6B5" w14:textId="77777777" w:rsidR="002435FA" w:rsidRDefault="002435FA">
      <w:pPr>
        <w:pStyle w:val="Heading2"/>
      </w:pPr>
      <w:bookmarkStart w:id="4" w:name="_Toc117000791"/>
      <w:r w:rsidRPr="002435FA">
        <w:lastRenderedPageBreak/>
        <w:t>Preoperative Medical Assessment</w:t>
      </w:r>
      <w:bookmarkEnd w:id="4"/>
    </w:p>
    <w:p w14:paraId="236BD636" w14:textId="149CF377" w:rsidR="002F0586" w:rsidRPr="002435FA" w:rsidRDefault="002F0586" w:rsidP="002435FA">
      <w:pPr>
        <w:pStyle w:val="BodyText1"/>
      </w:pPr>
      <w:r w:rsidRPr="002435FA">
        <w:rPr>
          <w:b/>
        </w:rPr>
        <w:t>Diabetes Management:</w:t>
      </w:r>
      <w:r w:rsidRPr="002435FA">
        <w:t xml:space="preserve"> Preoperative diabetes mellitus in patients undergoing surgery may adversely affect postoperative outcomes. Diabetes mellitus should be screened for and identified prior to </w:t>
      </w:r>
      <w:r w:rsidR="005A27D0">
        <w:t>performing</w:t>
      </w:r>
      <w:r w:rsidR="005A27D0" w:rsidRPr="002435FA">
        <w:t xml:space="preserve"> </w:t>
      </w:r>
      <w:r w:rsidRPr="002435FA">
        <w:t>surgery</w:t>
      </w:r>
      <w:r w:rsidR="005A27D0">
        <w:t xml:space="preserve">. </w:t>
      </w:r>
      <w:r w:rsidR="005A27D0" w:rsidRPr="002435FA">
        <w:t>Diabetes</w:t>
      </w:r>
      <w:r w:rsidR="005A27D0">
        <w:t xml:space="preserve"> care </w:t>
      </w:r>
      <w:r w:rsidRPr="002435FA">
        <w:t xml:space="preserve"> should be optimized through consultation with primary care or endocrinology. </w:t>
      </w:r>
      <w:r w:rsidR="005A27D0">
        <w:t>D</w:t>
      </w:r>
      <w:r w:rsidRPr="002435FA">
        <w:t>ecisions about surgical management in diabetic patients should be tailored to the individual</w:t>
      </w:r>
      <w:r w:rsidR="003E6D3A">
        <w:t xml:space="preserve"> referring to your hospital’s policies or guidelines</w:t>
      </w:r>
      <w:r w:rsidRPr="002435FA">
        <w:t>.</w:t>
      </w:r>
    </w:p>
    <w:p w14:paraId="7B05A1E4" w14:textId="49D5B708" w:rsidR="002F0586" w:rsidRPr="002435FA" w:rsidRDefault="002F0586" w:rsidP="002435FA">
      <w:pPr>
        <w:pStyle w:val="BodyText1"/>
      </w:pPr>
      <w:r w:rsidRPr="002435FA">
        <w:rPr>
          <w:b/>
        </w:rPr>
        <w:t>Smoking/</w:t>
      </w:r>
      <w:r w:rsidR="003E6D3A">
        <w:rPr>
          <w:b/>
        </w:rPr>
        <w:t>T</w:t>
      </w:r>
      <w:r w:rsidR="003E6D3A" w:rsidRPr="002435FA">
        <w:rPr>
          <w:b/>
        </w:rPr>
        <w:t xml:space="preserve">obacco </w:t>
      </w:r>
      <w:r w:rsidR="003E6D3A">
        <w:rPr>
          <w:b/>
        </w:rPr>
        <w:t>C</w:t>
      </w:r>
      <w:r w:rsidRPr="002435FA">
        <w:rPr>
          <w:b/>
        </w:rPr>
        <w:t>essation:</w:t>
      </w:r>
      <w:r w:rsidRPr="002435FA">
        <w:t xml:space="preserve"> Smoking is associated with increased risk for postoperative complications. Patients should abstain from smoking at least </w:t>
      </w:r>
      <w:r w:rsidR="005F22B3">
        <w:t>4</w:t>
      </w:r>
      <w:r w:rsidRPr="002435FA">
        <w:t xml:space="preserve"> weeks pre- and post-elective surgery. Preoperative interventions (counseling and/or nicotine replacement therapy) focused on smoking cessation are recommended. For procedures where it is not possible to counsel patients on smoking cessation </w:t>
      </w:r>
      <w:r w:rsidR="005F22B3">
        <w:t>4</w:t>
      </w:r>
      <w:r w:rsidRPr="002435FA">
        <w:t xml:space="preserve"> weeks prior to operation (e.g.</w:t>
      </w:r>
      <w:r w:rsidR="00282FBC">
        <w:t>,</w:t>
      </w:r>
      <w:r w:rsidRPr="002435FA">
        <w:t xml:space="preserve"> hip fracture, emergency general surgery),  patients who smoke should be counseled to cease smoking for at least 4 weeks after </w:t>
      </w:r>
      <w:r w:rsidR="003E6D3A">
        <w:t>surgery</w:t>
      </w:r>
      <w:r w:rsidR="003E6D3A" w:rsidRPr="002435FA">
        <w:t xml:space="preserve"> </w:t>
      </w:r>
      <w:r w:rsidRPr="002435FA">
        <w:t>to promote healing.</w:t>
      </w:r>
    </w:p>
    <w:p w14:paraId="2220A496" w14:textId="3A901341" w:rsidR="002F0586" w:rsidRPr="002435FA" w:rsidRDefault="002F0586" w:rsidP="002435FA">
      <w:pPr>
        <w:pStyle w:val="BodyText1"/>
      </w:pPr>
      <w:r w:rsidRPr="002435FA">
        <w:rPr>
          <w:b/>
        </w:rPr>
        <w:t>Weight Management:</w:t>
      </w:r>
      <w:r w:rsidRPr="002435FA">
        <w:t xml:space="preserve"> Obese patients, especially those with a body mass index (BMI) greater than 40 are at increased risk of adverse outcomes and often experience delayed and dampened functional recovery. </w:t>
      </w:r>
      <w:r w:rsidR="005022B9">
        <w:t>E</w:t>
      </w:r>
      <w:r w:rsidRPr="002435FA">
        <w:t>stablishing institution-specific guidelines with regards to surgical risk and BMI</w:t>
      </w:r>
      <w:r w:rsidR="005022B9">
        <w:t xml:space="preserve"> </w:t>
      </w:r>
      <w:r w:rsidR="005022B9" w:rsidRPr="002435FA">
        <w:t xml:space="preserve">should be </w:t>
      </w:r>
      <w:r w:rsidR="005022B9">
        <w:t>c</w:t>
      </w:r>
      <w:r w:rsidR="005022B9" w:rsidRPr="002435FA">
        <w:t>onsider</w:t>
      </w:r>
      <w:r w:rsidR="005022B9">
        <w:t>ed</w:t>
      </w:r>
      <w:r w:rsidRPr="002435FA">
        <w:t>.</w:t>
      </w:r>
    </w:p>
    <w:p w14:paraId="5956D29A" w14:textId="77777777" w:rsidR="002F0586" w:rsidRPr="002435FA" w:rsidRDefault="002F0586" w:rsidP="002435FA">
      <w:pPr>
        <w:pStyle w:val="BodyText1"/>
      </w:pPr>
      <w:r w:rsidRPr="002435FA">
        <w:rPr>
          <w:b/>
        </w:rPr>
        <w:t>Anemia:</w:t>
      </w:r>
      <w:r w:rsidRPr="002435FA">
        <w:t xml:space="preserve"> Patients undergoing surgery should be screened for preoperative anemia and referred for appropriate workup and treatment if necessary. Medical optimization with either oral or intravenous iron supplementation based on an institution-specific hemoglobin goal may be considered.</w:t>
      </w:r>
    </w:p>
    <w:p w14:paraId="72DA3C0D" w14:textId="77777777" w:rsidR="002F0586" w:rsidRPr="002435FA" w:rsidRDefault="002F0586" w:rsidP="002435FA">
      <w:pPr>
        <w:pStyle w:val="BodyText1"/>
      </w:pPr>
      <w:r w:rsidRPr="002435FA">
        <w:rPr>
          <w:b/>
        </w:rPr>
        <w:t>Immune Modulating Therapy:</w:t>
      </w:r>
      <w:r w:rsidRPr="002435FA">
        <w:t xml:space="preserve"> Although there is concern about the impact of immune modulating agents on perioperative outcomes, there is limited evidence to guide clinical decision making at this time.</w:t>
      </w:r>
    </w:p>
    <w:p w14:paraId="393EC452" w14:textId="77777777" w:rsidR="002F0586" w:rsidRPr="002435FA" w:rsidRDefault="002F0586" w:rsidP="002435FA">
      <w:pPr>
        <w:pStyle w:val="BodyText1"/>
      </w:pPr>
      <w:r w:rsidRPr="002435FA">
        <w:rPr>
          <w:b/>
        </w:rPr>
        <w:t>Malnutrition:</w:t>
      </w:r>
      <w:r w:rsidRPr="002435FA">
        <w:t xml:space="preserve"> Malnourished patients may be at increased risk of perioperative complications with surgery but there is no consensus on optimal screening or interventions.</w:t>
      </w:r>
    </w:p>
    <w:p w14:paraId="37FE5289" w14:textId="75A5D233" w:rsidR="002F0586" w:rsidRDefault="002F0586" w:rsidP="002435FA">
      <w:pPr>
        <w:pStyle w:val="BodyText1"/>
      </w:pPr>
      <w:r w:rsidRPr="002435FA">
        <w:rPr>
          <w:b/>
        </w:rPr>
        <w:t xml:space="preserve">Opioid Use: </w:t>
      </w:r>
      <w:r w:rsidRPr="002435FA">
        <w:t xml:space="preserve">Current evidence suggests that only a small fraction of the patients on opioids preoperatively will be able to fully wean themselves </w:t>
      </w:r>
      <w:r w:rsidR="005A27D0">
        <w:t xml:space="preserve">off of them </w:t>
      </w:r>
      <w:r w:rsidRPr="002435FA">
        <w:t>postoperatively</w:t>
      </w:r>
      <w:r w:rsidR="005A27D0">
        <w:t xml:space="preserve">. Patients </w:t>
      </w:r>
      <w:r w:rsidRPr="002435FA">
        <w:t xml:space="preserve">who can successfully wean themselves from opioids before surgery may have better outcomes than those who cannot. Information about long-term opioid use should be incorporated into discussions with patients before surgery and guide informed clinical decision making with patients. Support </w:t>
      </w:r>
      <w:r w:rsidR="005A27D0">
        <w:t xml:space="preserve">should be </w:t>
      </w:r>
      <w:r w:rsidRPr="002435FA">
        <w:t>offered for addressing opioid use before and after surgery as appropriate.</w:t>
      </w:r>
    </w:p>
    <w:tbl>
      <w:tblPr>
        <w:tblStyle w:val="GridTable1Light1"/>
        <w:tblW w:w="4944" w:type="pct"/>
        <w:tblLook w:val="0600" w:firstRow="0" w:lastRow="0" w:firstColumn="0" w:lastColumn="0" w:noHBand="1" w:noVBand="1"/>
      </w:tblPr>
      <w:tblGrid>
        <w:gridCol w:w="1344"/>
        <w:gridCol w:w="1712"/>
        <w:gridCol w:w="9988"/>
        <w:gridCol w:w="2605"/>
        <w:gridCol w:w="3703"/>
        <w:gridCol w:w="3420"/>
      </w:tblGrid>
      <w:tr w:rsidR="008E1F57" w:rsidRPr="002435FA" w14:paraId="7B5BC70B" w14:textId="77777777" w:rsidTr="0019570D">
        <w:trPr>
          <w:cantSplit/>
          <w:trHeight w:val="973"/>
          <w:tblHeader/>
        </w:trPr>
        <w:tc>
          <w:tcPr>
            <w:tcW w:w="295" w:type="pct"/>
            <w:hideMark/>
          </w:tcPr>
          <w:p w14:paraId="32B115F5" w14:textId="4FE93C15" w:rsidR="00AE5F35" w:rsidRPr="002435FA" w:rsidRDefault="00AE5F35" w:rsidP="002435FA">
            <w:pPr>
              <w:pStyle w:val="TableParagraph"/>
              <w:rPr>
                <w:rStyle w:val="Strong"/>
              </w:rPr>
            </w:pPr>
            <w:r w:rsidRPr="002435FA">
              <w:rPr>
                <w:rStyle w:val="Strong"/>
              </w:rPr>
              <w:t xml:space="preserve">Pathway </w:t>
            </w:r>
          </w:p>
        </w:tc>
        <w:tc>
          <w:tcPr>
            <w:tcW w:w="376" w:type="pct"/>
            <w:hideMark/>
          </w:tcPr>
          <w:p w14:paraId="4EA416B8" w14:textId="77777777" w:rsidR="00AE5F35" w:rsidRPr="002435FA" w:rsidRDefault="00AE5F35" w:rsidP="002435FA">
            <w:pPr>
              <w:pStyle w:val="TableParagraph"/>
              <w:rPr>
                <w:rStyle w:val="Strong"/>
              </w:rPr>
            </w:pPr>
            <w:r w:rsidRPr="002435FA">
              <w:rPr>
                <w:rStyle w:val="Strong"/>
              </w:rPr>
              <w:t>Component</w:t>
            </w:r>
          </w:p>
        </w:tc>
        <w:tc>
          <w:tcPr>
            <w:tcW w:w="2193" w:type="pct"/>
            <w:hideMark/>
          </w:tcPr>
          <w:p w14:paraId="08086BF6" w14:textId="757DDA59" w:rsidR="009B185A" w:rsidRDefault="00AE5F35" w:rsidP="002435FA">
            <w:pPr>
              <w:pStyle w:val="TableParagraph"/>
              <w:rPr>
                <w:rStyle w:val="Strong"/>
              </w:rPr>
            </w:pPr>
            <w:r w:rsidRPr="002435FA">
              <w:rPr>
                <w:rStyle w:val="Strong"/>
              </w:rPr>
              <w:t xml:space="preserve">Example Processes </w:t>
            </w:r>
            <w:r w:rsidR="005F22B3">
              <w:rPr>
                <w:rStyle w:val="Strong"/>
              </w:rPr>
              <w:t>T</w:t>
            </w:r>
            <w:r w:rsidRPr="002435FA">
              <w:rPr>
                <w:rStyle w:val="Strong"/>
              </w:rPr>
              <w:t>o Consider</w:t>
            </w:r>
          </w:p>
          <w:p w14:paraId="46226B0C" w14:textId="77777777" w:rsidR="00AE5F35" w:rsidRPr="009B185A" w:rsidRDefault="00AE5F35" w:rsidP="002435FA">
            <w:pPr>
              <w:pStyle w:val="TableParagraph"/>
              <w:rPr>
                <w:rStyle w:val="Strong"/>
                <w:b w:val="0"/>
                <w:i/>
              </w:rPr>
            </w:pPr>
            <w:r w:rsidRPr="009B185A">
              <w:rPr>
                <w:rStyle w:val="Strong"/>
                <w:b w:val="0"/>
                <w:i/>
              </w:rPr>
              <w:t>As a team, go through each component and discuss what approach best fits your hospital. It may be an option other than what is listed below.</w:t>
            </w:r>
          </w:p>
        </w:tc>
        <w:tc>
          <w:tcPr>
            <w:tcW w:w="572" w:type="pct"/>
            <w:hideMark/>
          </w:tcPr>
          <w:p w14:paraId="31718B6B" w14:textId="77777777" w:rsidR="00AE5F35" w:rsidRPr="002435FA" w:rsidRDefault="00AE5F35" w:rsidP="002435FA">
            <w:pPr>
              <w:pStyle w:val="TableParagraph"/>
              <w:rPr>
                <w:rStyle w:val="Strong"/>
              </w:rPr>
            </w:pPr>
            <w:r w:rsidRPr="002435FA">
              <w:rPr>
                <w:rStyle w:val="Strong"/>
              </w:rPr>
              <w:t>Team Decisions/Notes</w:t>
            </w:r>
          </w:p>
          <w:p w14:paraId="6BFE5C76" w14:textId="77777777" w:rsidR="00AE5F35" w:rsidRPr="009B185A" w:rsidRDefault="00AE5F35" w:rsidP="002435FA">
            <w:pPr>
              <w:pStyle w:val="TableParagraph"/>
              <w:rPr>
                <w:rStyle w:val="Strong"/>
                <w:b w:val="0"/>
                <w:i/>
              </w:rPr>
            </w:pPr>
            <w:r w:rsidRPr="009B185A">
              <w:rPr>
                <w:rStyle w:val="Strong"/>
                <w:b w:val="0"/>
                <w:i/>
              </w:rPr>
              <w:t>As a team, note exceptions and contraindications to the treatment or medications.</w:t>
            </w:r>
          </w:p>
        </w:tc>
        <w:tc>
          <w:tcPr>
            <w:tcW w:w="813" w:type="pct"/>
            <w:hideMark/>
          </w:tcPr>
          <w:p w14:paraId="182E1DD8" w14:textId="28AC6A63" w:rsidR="00AE5F35" w:rsidRPr="002435FA" w:rsidRDefault="00AA140E" w:rsidP="002435FA">
            <w:pPr>
              <w:pStyle w:val="TableParagraph"/>
              <w:rPr>
                <w:rStyle w:val="Strong"/>
              </w:rPr>
            </w:pPr>
            <w:r>
              <w:rPr>
                <w:rStyle w:val="Strong"/>
              </w:rPr>
              <w:t xml:space="preserve">Other Available Resources </w:t>
            </w:r>
            <w:r w:rsidR="005F22B3">
              <w:rPr>
                <w:rStyle w:val="Strong"/>
              </w:rPr>
              <w:t>and</w:t>
            </w:r>
            <w:r>
              <w:rPr>
                <w:rStyle w:val="Strong"/>
              </w:rPr>
              <w:t xml:space="preserve"> Tips </w:t>
            </w:r>
            <w:r w:rsidR="005F22B3">
              <w:rPr>
                <w:rStyle w:val="Strong"/>
              </w:rPr>
              <w:t>T</w:t>
            </w:r>
            <w:r>
              <w:rPr>
                <w:rStyle w:val="Strong"/>
              </w:rPr>
              <w:t>o Consider</w:t>
            </w:r>
          </w:p>
        </w:tc>
        <w:tc>
          <w:tcPr>
            <w:tcW w:w="751" w:type="pct"/>
            <w:hideMark/>
          </w:tcPr>
          <w:p w14:paraId="3C3BAE6D" w14:textId="77777777" w:rsidR="00AE5F35" w:rsidRDefault="00D63FC9" w:rsidP="002435FA">
            <w:pPr>
              <w:pStyle w:val="TableParagraph"/>
              <w:rPr>
                <w:rStyle w:val="Strong"/>
              </w:rPr>
            </w:pPr>
            <w:r w:rsidRPr="00D63FC9">
              <w:rPr>
                <w:rStyle w:val="Strong"/>
              </w:rPr>
              <w:t>ISCR Measures</w:t>
            </w:r>
          </w:p>
          <w:p w14:paraId="589F65F6" w14:textId="77777777" w:rsidR="00745B3F" w:rsidRDefault="00745B3F" w:rsidP="002435FA">
            <w:pPr>
              <w:pStyle w:val="TableParagraph"/>
              <w:rPr>
                <w:rStyle w:val="Strong"/>
              </w:rPr>
            </w:pPr>
            <w:r w:rsidRPr="009733EE">
              <w:rPr>
                <w:bCs/>
                <w:i/>
              </w:rPr>
              <w:t>As a team, decide on specific and standardized measures you can track at your hospital. It may be helpful to record your definitions here.</w:t>
            </w:r>
          </w:p>
          <w:p w14:paraId="76176A73" w14:textId="77777777" w:rsidR="00745B3F" w:rsidRPr="002435FA" w:rsidRDefault="00745B3F" w:rsidP="002435FA">
            <w:pPr>
              <w:pStyle w:val="TableParagraph"/>
              <w:rPr>
                <w:rStyle w:val="Strong"/>
              </w:rPr>
            </w:pPr>
          </w:p>
        </w:tc>
      </w:tr>
      <w:tr w:rsidR="008E1F57" w:rsidRPr="00AE595D" w14:paraId="3AB3A791" w14:textId="77777777" w:rsidTr="00846BFB">
        <w:trPr>
          <w:trHeight w:val="1315"/>
        </w:trPr>
        <w:tc>
          <w:tcPr>
            <w:tcW w:w="295" w:type="pct"/>
            <w:hideMark/>
          </w:tcPr>
          <w:p w14:paraId="55E163A2" w14:textId="77777777" w:rsidR="00AE5F35" w:rsidRDefault="002E4F5F" w:rsidP="002435FA">
            <w:pPr>
              <w:pStyle w:val="TableParagraph"/>
              <w:rPr>
                <w:b/>
              </w:rPr>
            </w:pPr>
            <w:r w:rsidRPr="007C174E">
              <w:rPr>
                <w:b/>
              </w:rPr>
              <w:t xml:space="preserve">All </w:t>
            </w:r>
            <w:r w:rsidR="004F6155" w:rsidRPr="007C174E">
              <w:rPr>
                <w:b/>
              </w:rPr>
              <w:t xml:space="preserve">ISCR </w:t>
            </w:r>
            <w:r w:rsidRPr="007C174E">
              <w:rPr>
                <w:b/>
              </w:rPr>
              <w:t>Pathways</w:t>
            </w:r>
            <w:r w:rsidR="00AE5F35" w:rsidRPr="007C174E">
              <w:rPr>
                <w:b/>
              </w:rPr>
              <w:t xml:space="preserve"> </w:t>
            </w:r>
          </w:p>
          <w:p w14:paraId="70060699" w14:textId="77777777" w:rsidR="00F93B37" w:rsidRDefault="00F93B37" w:rsidP="002435FA">
            <w:pPr>
              <w:pStyle w:val="TableParagraph"/>
              <w:rPr>
                <w:b/>
              </w:rPr>
            </w:pPr>
          </w:p>
          <w:p w14:paraId="3FB5BCA3" w14:textId="77777777" w:rsidR="00F93B37" w:rsidRDefault="00F93B37" w:rsidP="002435FA">
            <w:pPr>
              <w:pStyle w:val="TableParagraph"/>
              <w:rPr>
                <w:b/>
              </w:rPr>
            </w:pPr>
          </w:p>
          <w:p w14:paraId="14C64D5B" w14:textId="77777777" w:rsidR="00F93B37" w:rsidRDefault="00F93B37" w:rsidP="002435FA">
            <w:pPr>
              <w:pStyle w:val="TableParagraph"/>
              <w:rPr>
                <w:b/>
              </w:rPr>
            </w:pPr>
          </w:p>
          <w:p w14:paraId="087A6FFE" w14:textId="77777777" w:rsidR="00F93B37" w:rsidRDefault="00F93B37" w:rsidP="002435FA">
            <w:pPr>
              <w:pStyle w:val="TableParagraph"/>
              <w:rPr>
                <w:b/>
              </w:rPr>
            </w:pPr>
          </w:p>
          <w:p w14:paraId="7C23E135" w14:textId="77777777" w:rsidR="00F93B37" w:rsidRDefault="00F93B37" w:rsidP="002435FA">
            <w:pPr>
              <w:pStyle w:val="TableParagraph"/>
              <w:rPr>
                <w:b/>
              </w:rPr>
            </w:pPr>
          </w:p>
          <w:p w14:paraId="79A08EDA" w14:textId="77777777" w:rsidR="00F93B37" w:rsidRDefault="00F93B37" w:rsidP="002435FA">
            <w:pPr>
              <w:pStyle w:val="TableParagraph"/>
              <w:rPr>
                <w:b/>
              </w:rPr>
            </w:pPr>
          </w:p>
          <w:p w14:paraId="3D81A637" w14:textId="77777777" w:rsidR="00F93B37" w:rsidRDefault="00F93B37" w:rsidP="002435FA">
            <w:pPr>
              <w:pStyle w:val="TableParagraph"/>
              <w:rPr>
                <w:b/>
              </w:rPr>
            </w:pPr>
          </w:p>
          <w:p w14:paraId="24E06E90" w14:textId="77777777" w:rsidR="00F93B37" w:rsidRDefault="00F93B37" w:rsidP="002435FA">
            <w:pPr>
              <w:pStyle w:val="TableParagraph"/>
              <w:rPr>
                <w:b/>
              </w:rPr>
            </w:pPr>
          </w:p>
          <w:p w14:paraId="0027936B" w14:textId="77777777" w:rsidR="00F93B37" w:rsidRDefault="00F93B37" w:rsidP="002435FA">
            <w:pPr>
              <w:pStyle w:val="TableParagraph"/>
              <w:rPr>
                <w:b/>
              </w:rPr>
            </w:pPr>
          </w:p>
          <w:p w14:paraId="0AEFE836" w14:textId="5473F916" w:rsidR="00F93B37" w:rsidRPr="007C174E" w:rsidRDefault="00F93B37" w:rsidP="002435FA">
            <w:pPr>
              <w:pStyle w:val="TableParagraph"/>
              <w:rPr>
                <w:b/>
              </w:rPr>
            </w:pPr>
            <w:r w:rsidRPr="00F93B37">
              <w:rPr>
                <w:b/>
              </w:rPr>
              <w:t xml:space="preserve">All ISCR Pathways </w:t>
            </w:r>
          </w:p>
        </w:tc>
        <w:tc>
          <w:tcPr>
            <w:tcW w:w="376" w:type="pct"/>
            <w:hideMark/>
          </w:tcPr>
          <w:p w14:paraId="30AC12CB" w14:textId="46367BA6" w:rsidR="00AE5F35" w:rsidRDefault="00AE5F35" w:rsidP="002435FA">
            <w:pPr>
              <w:pStyle w:val="TableParagraph"/>
              <w:rPr>
                <w:b/>
              </w:rPr>
            </w:pPr>
            <w:r w:rsidRPr="007C174E">
              <w:rPr>
                <w:b/>
              </w:rPr>
              <w:lastRenderedPageBreak/>
              <w:t>Preoperative Medical Assessment</w:t>
            </w:r>
          </w:p>
          <w:p w14:paraId="33327270" w14:textId="74788A2C" w:rsidR="00F93B37" w:rsidRDefault="00F93B37" w:rsidP="002435FA">
            <w:pPr>
              <w:pStyle w:val="TableParagraph"/>
              <w:rPr>
                <w:b/>
              </w:rPr>
            </w:pPr>
          </w:p>
          <w:p w14:paraId="4F59BF95" w14:textId="582C3C13" w:rsidR="00F93B37" w:rsidRDefault="00F93B37" w:rsidP="002435FA">
            <w:pPr>
              <w:pStyle w:val="TableParagraph"/>
              <w:rPr>
                <w:b/>
              </w:rPr>
            </w:pPr>
          </w:p>
          <w:p w14:paraId="340984F6" w14:textId="1C8F6153" w:rsidR="00F93B37" w:rsidRDefault="00F93B37" w:rsidP="002435FA">
            <w:pPr>
              <w:pStyle w:val="TableParagraph"/>
              <w:rPr>
                <w:b/>
              </w:rPr>
            </w:pPr>
          </w:p>
          <w:p w14:paraId="43957934" w14:textId="5857A7BD" w:rsidR="00F93B37" w:rsidRDefault="00F93B37" w:rsidP="002435FA">
            <w:pPr>
              <w:pStyle w:val="TableParagraph"/>
              <w:rPr>
                <w:b/>
              </w:rPr>
            </w:pPr>
          </w:p>
          <w:p w14:paraId="35CAF46C" w14:textId="460FA941" w:rsidR="00F93B37" w:rsidRDefault="00F93B37" w:rsidP="002435FA">
            <w:pPr>
              <w:pStyle w:val="TableParagraph"/>
              <w:rPr>
                <w:b/>
              </w:rPr>
            </w:pPr>
          </w:p>
          <w:p w14:paraId="61DCEA2B" w14:textId="61B46FC4" w:rsidR="00F93B37" w:rsidRDefault="00F93B37" w:rsidP="002435FA">
            <w:pPr>
              <w:pStyle w:val="TableParagraph"/>
              <w:rPr>
                <w:b/>
              </w:rPr>
            </w:pPr>
          </w:p>
          <w:p w14:paraId="62309025" w14:textId="483DB930" w:rsidR="00F93B37" w:rsidRDefault="00F93B37" w:rsidP="002435FA">
            <w:pPr>
              <w:pStyle w:val="TableParagraph"/>
              <w:rPr>
                <w:b/>
              </w:rPr>
            </w:pPr>
          </w:p>
          <w:p w14:paraId="5439DE11" w14:textId="77777777" w:rsidR="00F93B37" w:rsidRDefault="00F93B37" w:rsidP="00F93B37">
            <w:pPr>
              <w:pStyle w:val="TableParagraph"/>
              <w:rPr>
                <w:b/>
              </w:rPr>
            </w:pPr>
          </w:p>
          <w:p w14:paraId="06AADBE7" w14:textId="052414AD" w:rsidR="00F93B37" w:rsidRPr="007C174E" w:rsidRDefault="00F93B37" w:rsidP="00F93B37">
            <w:pPr>
              <w:pStyle w:val="TableParagraph"/>
              <w:rPr>
                <w:b/>
              </w:rPr>
            </w:pPr>
            <w:r w:rsidRPr="007C174E">
              <w:rPr>
                <w:b/>
              </w:rPr>
              <w:t>Preoperative Medical Assessment</w:t>
            </w:r>
          </w:p>
          <w:p w14:paraId="2069B1F4" w14:textId="77777777" w:rsidR="00F93B37" w:rsidRPr="007C174E" w:rsidRDefault="00F93B37" w:rsidP="002435FA">
            <w:pPr>
              <w:pStyle w:val="TableParagraph"/>
              <w:rPr>
                <w:b/>
              </w:rPr>
            </w:pPr>
          </w:p>
          <w:p w14:paraId="5459D1E8" w14:textId="77777777" w:rsidR="00AE5F35" w:rsidRPr="007C174E" w:rsidRDefault="00AE5F35" w:rsidP="002435FA">
            <w:pPr>
              <w:pStyle w:val="TableParagraph"/>
              <w:rPr>
                <w:b/>
              </w:rPr>
            </w:pPr>
          </w:p>
        </w:tc>
        <w:tc>
          <w:tcPr>
            <w:tcW w:w="2193" w:type="pct"/>
            <w:hideMark/>
          </w:tcPr>
          <w:p w14:paraId="14D69B28" w14:textId="77777777" w:rsidR="00AE5F35" w:rsidRPr="007C174E" w:rsidRDefault="00AE5F35" w:rsidP="00846BFB">
            <w:pPr>
              <w:spacing w:after="120" w:line="240" w:lineRule="auto"/>
              <w:rPr>
                <w:rFonts w:eastAsia="Times New Roman" w:cs="Times New Roman"/>
                <w:b/>
                <w:color w:val="000000"/>
              </w:rPr>
            </w:pPr>
            <w:r w:rsidRPr="007C174E">
              <w:rPr>
                <w:rFonts w:eastAsia="Times New Roman" w:cs="Times New Roman"/>
                <w:b/>
                <w:color w:val="000000"/>
              </w:rPr>
              <w:lastRenderedPageBreak/>
              <w:t xml:space="preserve">Recommended approach: </w:t>
            </w:r>
          </w:p>
          <w:p w14:paraId="080B1A43" w14:textId="77777777" w:rsidR="00151BD4" w:rsidRPr="00AE595D" w:rsidRDefault="00151BD4" w:rsidP="00846BFB">
            <w:pPr>
              <w:pStyle w:val="Bullet1"/>
              <w:numPr>
                <w:ilvl w:val="0"/>
                <w:numId w:val="0"/>
              </w:numPr>
              <w:spacing w:line="240" w:lineRule="auto"/>
              <w:ind w:left="360"/>
            </w:pPr>
            <w:r w:rsidRPr="00AE595D">
              <w:t>All of these factors should be included in the preoperative risk counseling and considered when counseling on the anticipated recovery with patients.</w:t>
            </w:r>
          </w:p>
          <w:p w14:paraId="2CFB2FD1" w14:textId="5716C464" w:rsidR="00151BD4" w:rsidRPr="00AE595D" w:rsidRDefault="00151BD4" w:rsidP="00846BFB">
            <w:pPr>
              <w:pStyle w:val="TableParagraph"/>
              <w:spacing w:after="120" w:line="240" w:lineRule="auto"/>
              <w:rPr>
                <w:rFonts w:eastAsia="Times New Roman" w:cs="Times New Roman"/>
              </w:rPr>
            </w:pPr>
            <w:r w:rsidRPr="00AE595D">
              <w:rPr>
                <w:rFonts w:eastAsia="Times New Roman" w:cs="Times New Roman"/>
              </w:rPr>
              <w:t xml:space="preserve">Diabetes </w:t>
            </w:r>
            <w:r w:rsidR="0034357C" w:rsidRPr="00AE595D">
              <w:rPr>
                <w:rFonts w:eastAsia="Times New Roman" w:cs="Times New Roman"/>
              </w:rPr>
              <w:t>m</w:t>
            </w:r>
            <w:r w:rsidRPr="00AE595D">
              <w:rPr>
                <w:rFonts w:eastAsia="Times New Roman" w:cs="Times New Roman"/>
              </w:rPr>
              <w:t>anagement</w:t>
            </w:r>
          </w:p>
          <w:p w14:paraId="3B663699" w14:textId="797A0FEF" w:rsidR="00151BD4" w:rsidRPr="00AE595D" w:rsidRDefault="00151BD4" w:rsidP="00846BFB">
            <w:pPr>
              <w:pStyle w:val="Bullet1"/>
              <w:spacing w:line="240" w:lineRule="auto"/>
            </w:pPr>
            <w:r w:rsidRPr="00AE595D">
              <w:t>Review every patient’s diabetes status and review or order related laboratory tests as needed</w:t>
            </w:r>
          </w:p>
          <w:p w14:paraId="5B4964F8" w14:textId="5AC237F6" w:rsidR="00151BD4" w:rsidRPr="00AE595D" w:rsidRDefault="00151BD4" w:rsidP="00846BFB">
            <w:pPr>
              <w:pStyle w:val="Bullet1"/>
              <w:spacing w:line="240" w:lineRule="auto"/>
            </w:pPr>
            <w:r w:rsidRPr="00AE595D">
              <w:t>Optimize diabetes in partnership with primary care or endocrinology providers</w:t>
            </w:r>
          </w:p>
          <w:p w14:paraId="29B372AF" w14:textId="43AEEAFA" w:rsidR="00151BD4" w:rsidRPr="00AE595D" w:rsidRDefault="00151BD4" w:rsidP="00846BFB">
            <w:pPr>
              <w:pStyle w:val="TableParagraph"/>
              <w:spacing w:after="120" w:line="240" w:lineRule="auto"/>
              <w:rPr>
                <w:rFonts w:eastAsia="Times New Roman" w:cs="Times New Roman"/>
              </w:rPr>
            </w:pPr>
            <w:r w:rsidRPr="00AE595D">
              <w:rPr>
                <w:rFonts w:eastAsia="Times New Roman" w:cs="Times New Roman"/>
              </w:rPr>
              <w:t>Smoking/</w:t>
            </w:r>
            <w:r w:rsidR="0034357C" w:rsidRPr="00AE595D">
              <w:rPr>
                <w:rFonts w:eastAsia="Times New Roman" w:cs="Times New Roman"/>
              </w:rPr>
              <w:t>t</w:t>
            </w:r>
            <w:r w:rsidRPr="00AE595D">
              <w:rPr>
                <w:rFonts w:eastAsia="Times New Roman" w:cs="Times New Roman"/>
              </w:rPr>
              <w:t xml:space="preserve">obacco </w:t>
            </w:r>
            <w:r w:rsidR="0034357C" w:rsidRPr="00AE595D">
              <w:rPr>
                <w:rFonts w:eastAsia="Times New Roman" w:cs="Times New Roman"/>
              </w:rPr>
              <w:t>c</w:t>
            </w:r>
            <w:r w:rsidRPr="00AE595D">
              <w:rPr>
                <w:rFonts w:eastAsia="Times New Roman" w:cs="Times New Roman"/>
              </w:rPr>
              <w:t>essation</w:t>
            </w:r>
          </w:p>
          <w:p w14:paraId="64436F53" w14:textId="77777777" w:rsidR="00151BD4" w:rsidRPr="00AE595D" w:rsidRDefault="009733EE" w:rsidP="00846BFB">
            <w:pPr>
              <w:pStyle w:val="Bullet1"/>
              <w:spacing w:line="240" w:lineRule="auto"/>
            </w:pPr>
            <w:r>
              <w:t>S</w:t>
            </w:r>
            <w:r w:rsidRPr="00AE595D">
              <w:t xml:space="preserve">moking </w:t>
            </w:r>
            <w:r w:rsidR="00151BD4" w:rsidRPr="00AE595D">
              <w:t>cessation 4 weeks pre- and post-elective surgery</w:t>
            </w:r>
          </w:p>
          <w:p w14:paraId="0A12B57F" w14:textId="67E9C72F" w:rsidR="00D21923" w:rsidRPr="00AE595D" w:rsidRDefault="00D21923" w:rsidP="00846BFB">
            <w:pPr>
              <w:pStyle w:val="Bullet1"/>
              <w:spacing w:line="240" w:lineRule="auto"/>
            </w:pPr>
            <w:r w:rsidRPr="00AE595D">
              <w:t xml:space="preserve">For </w:t>
            </w:r>
            <w:r w:rsidR="00490C04" w:rsidRPr="00AE595D">
              <w:t>emergen</w:t>
            </w:r>
            <w:r w:rsidR="00490C04">
              <w:t>cy</w:t>
            </w:r>
            <w:r w:rsidR="00490C04" w:rsidRPr="00AE595D">
              <w:t xml:space="preserve"> </w:t>
            </w:r>
            <w:r w:rsidRPr="00AE595D">
              <w:t>surger</w:t>
            </w:r>
            <w:r w:rsidR="002936C9">
              <w:t>ies</w:t>
            </w:r>
            <w:r w:rsidRPr="00AE595D">
              <w:t xml:space="preserve">, patients should be counseled to cease smoking for at least 4 weeks </w:t>
            </w:r>
            <w:r w:rsidR="00C56456">
              <w:t>post-surgery</w:t>
            </w:r>
            <w:r w:rsidRPr="00AE595D">
              <w:t xml:space="preserve"> to promote healing</w:t>
            </w:r>
          </w:p>
          <w:p w14:paraId="0AC983A9" w14:textId="77777777" w:rsidR="00AE5F35" w:rsidRPr="00AE595D" w:rsidRDefault="00151BD4" w:rsidP="00846BFB">
            <w:pPr>
              <w:pStyle w:val="Bullet1"/>
              <w:spacing w:line="240" w:lineRule="auto"/>
            </w:pPr>
            <w:r w:rsidRPr="00AE595D">
              <w:t>Provide counseling and nicotine replacement therapy</w:t>
            </w:r>
            <w:r w:rsidR="003E6D3A">
              <w:t xml:space="preserve"> or other medications</w:t>
            </w:r>
            <w:r w:rsidRPr="00AE595D">
              <w:t xml:space="preserve"> as needed</w:t>
            </w:r>
          </w:p>
          <w:p w14:paraId="6FCC988C" w14:textId="77777777" w:rsidR="00846BFB" w:rsidRDefault="00846BFB" w:rsidP="00846BFB">
            <w:pPr>
              <w:pStyle w:val="TableParagraph"/>
              <w:spacing w:after="120" w:line="240" w:lineRule="auto"/>
            </w:pPr>
          </w:p>
          <w:p w14:paraId="17052EDE" w14:textId="77777777" w:rsidR="00846BFB" w:rsidRDefault="00846BFB" w:rsidP="00846BFB">
            <w:pPr>
              <w:pStyle w:val="TableParagraph"/>
              <w:spacing w:after="120" w:line="240" w:lineRule="auto"/>
            </w:pPr>
          </w:p>
          <w:p w14:paraId="3CE3C5CD" w14:textId="77777777" w:rsidR="00846BFB" w:rsidRDefault="00846BFB" w:rsidP="00846BFB">
            <w:pPr>
              <w:pStyle w:val="TableParagraph"/>
              <w:spacing w:after="120" w:line="240" w:lineRule="auto"/>
            </w:pPr>
          </w:p>
          <w:p w14:paraId="09282A6F" w14:textId="77777777" w:rsidR="00AE5F35" w:rsidRPr="00AE595D" w:rsidRDefault="00AE5F35" w:rsidP="00846BFB">
            <w:pPr>
              <w:pStyle w:val="TableParagraph"/>
              <w:spacing w:after="120" w:line="240" w:lineRule="auto"/>
            </w:pPr>
            <w:r w:rsidRPr="00AE595D">
              <w:t>Anemia</w:t>
            </w:r>
          </w:p>
          <w:p w14:paraId="64F09972" w14:textId="0E8B48B8" w:rsidR="00151BD4" w:rsidRPr="00AE595D" w:rsidRDefault="00151BD4" w:rsidP="00846BFB">
            <w:pPr>
              <w:pStyle w:val="Bullet1"/>
              <w:spacing w:line="240" w:lineRule="auto"/>
            </w:pPr>
            <w:r w:rsidRPr="00AE595D">
              <w:t>Each institution should establish hemoglobin level guidelines and recommendations for optimization of levels</w:t>
            </w:r>
            <w:r w:rsidR="005F22B3">
              <w:t xml:space="preserve"> </w:t>
            </w:r>
            <w:r w:rsidRPr="00AE595D">
              <w:t>before surgery</w:t>
            </w:r>
            <w:r w:rsidR="00767D59">
              <w:t xml:space="preserve"> following national guidelines</w:t>
            </w:r>
            <w:r w:rsidRPr="00AE595D">
              <w:t>.</w:t>
            </w:r>
          </w:p>
          <w:p w14:paraId="7D3BA24C" w14:textId="77777777" w:rsidR="00304935" w:rsidRPr="00AE595D" w:rsidRDefault="00151BD4" w:rsidP="00846BFB">
            <w:pPr>
              <w:pStyle w:val="Bullet1"/>
              <w:spacing w:line="240" w:lineRule="auto"/>
            </w:pPr>
            <w:r w:rsidRPr="00AE595D">
              <w:t>Consider evaluating and treating preoperative anemia with iron supplementation if anemia is the result of iron deficiency. Use either oral or intravenous based on clinical situation.</w:t>
            </w:r>
          </w:p>
          <w:p w14:paraId="73CE2F6C" w14:textId="4F2608EE" w:rsidR="00304935" w:rsidRPr="00AE595D" w:rsidRDefault="00304935" w:rsidP="00846BFB">
            <w:pPr>
              <w:pStyle w:val="TableParagraph"/>
              <w:spacing w:after="120" w:line="240" w:lineRule="auto"/>
            </w:pPr>
            <w:r w:rsidRPr="00AE595D">
              <w:t xml:space="preserve">Opioid </w:t>
            </w:r>
            <w:r w:rsidR="0034357C" w:rsidRPr="00AE595D">
              <w:t>u</w:t>
            </w:r>
            <w:r w:rsidRPr="00AE595D">
              <w:t>se</w:t>
            </w:r>
          </w:p>
          <w:p w14:paraId="47FE3F24" w14:textId="6A1DD768" w:rsidR="00151BD4" w:rsidRPr="00AE595D" w:rsidRDefault="00151BD4" w:rsidP="00846BFB">
            <w:pPr>
              <w:pStyle w:val="Bullet1"/>
              <w:spacing w:line="240" w:lineRule="auto"/>
            </w:pPr>
            <w:r w:rsidRPr="00AE595D">
              <w:t xml:space="preserve">Evaluate patient’s preoperative opioid use by </w:t>
            </w:r>
            <w:r w:rsidR="00767D59">
              <w:t xml:space="preserve">discussing with patient, and if needed, </w:t>
            </w:r>
            <w:r w:rsidRPr="00AE595D">
              <w:t xml:space="preserve">reviewing </w:t>
            </w:r>
            <w:r w:rsidR="005F22B3">
              <w:t>S</w:t>
            </w:r>
            <w:r w:rsidRPr="00AE595D">
              <w:t>tate prescription monitoring program databases and medical history.</w:t>
            </w:r>
          </w:p>
          <w:p w14:paraId="7FC91A1F" w14:textId="77777777" w:rsidR="00AE5F35" w:rsidRPr="00AE595D" w:rsidRDefault="00151BD4" w:rsidP="00846BFB">
            <w:pPr>
              <w:pStyle w:val="Bullet1"/>
              <w:spacing w:line="240" w:lineRule="auto"/>
            </w:pPr>
            <w:r w:rsidRPr="00AE595D">
              <w:t>Counsel patients on expected opioid use post-surgery based on preoperative use.</w:t>
            </w:r>
          </w:p>
          <w:p w14:paraId="60FC137E" w14:textId="62CC3859" w:rsidR="00D21923" w:rsidRPr="00AE595D" w:rsidRDefault="00D21923" w:rsidP="00846BFB">
            <w:pPr>
              <w:pStyle w:val="TableParagraph"/>
              <w:spacing w:after="120" w:line="240" w:lineRule="auto"/>
            </w:pPr>
            <w:r w:rsidRPr="00AE595D">
              <w:t xml:space="preserve">Weight </w:t>
            </w:r>
            <w:r w:rsidR="0034357C" w:rsidRPr="00AE595D">
              <w:t>m</w:t>
            </w:r>
            <w:r w:rsidRPr="00AE595D">
              <w:t>anagement</w:t>
            </w:r>
            <w:r w:rsidR="008530DC">
              <w:t xml:space="preserve"> (</w:t>
            </w:r>
            <w:r w:rsidR="00B00577">
              <w:t>hip and knee</w:t>
            </w:r>
            <w:r w:rsidR="008530DC" w:rsidRPr="008530DC">
              <w:t xml:space="preserve"> replacement</w:t>
            </w:r>
            <w:r w:rsidR="008530DC">
              <w:t xml:space="preserve"> specific component)</w:t>
            </w:r>
          </w:p>
          <w:p w14:paraId="4184A8E8" w14:textId="2ECDB104" w:rsidR="00D21923" w:rsidRPr="00AE595D" w:rsidRDefault="00D21923" w:rsidP="00846BFB">
            <w:pPr>
              <w:pStyle w:val="Bullet1"/>
              <w:spacing w:line="240" w:lineRule="auto"/>
            </w:pPr>
            <w:r w:rsidRPr="00AE595D">
              <w:t xml:space="preserve">Patients should have their </w:t>
            </w:r>
            <w:r w:rsidR="0034357C" w:rsidRPr="00AE595D">
              <w:t xml:space="preserve">body mass index </w:t>
            </w:r>
            <w:r w:rsidRPr="00AE595D">
              <w:t>(BMI) measured and risks associated with an elevated BMI should be considered as part of the preoperative evaluation and risk counseling</w:t>
            </w:r>
          </w:p>
          <w:p w14:paraId="1950A7D9" w14:textId="25F4382C" w:rsidR="00D21923" w:rsidRPr="00AE595D" w:rsidRDefault="00767D59" w:rsidP="00846BFB">
            <w:pPr>
              <w:pStyle w:val="Bullet1"/>
              <w:spacing w:line="240" w:lineRule="auto"/>
            </w:pPr>
            <w:r>
              <w:t>Obese or overweight patients should be advised to lose weight, but n</w:t>
            </w:r>
            <w:r w:rsidR="00D21923" w:rsidRPr="00AE595D">
              <w:t xml:space="preserve">o formal recommendation for a specific weight loss method or program </w:t>
            </w:r>
            <w:r>
              <w:t>is endorsed</w:t>
            </w:r>
          </w:p>
          <w:p w14:paraId="4643E1F6" w14:textId="1822CFF5" w:rsidR="00D21923" w:rsidRPr="00AE595D" w:rsidRDefault="00D21923" w:rsidP="00846BFB">
            <w:pPr>
              <w:pStyle w:val="TableParagraph"/>
              <w:spacing w:after="120" w:line="240" w:lineRule="auto"/>
            </w:pPr>
            <w:r w:rsidRPr="00AE595D">
              <w:t xml:space="preserve">Delirium </w:t>
            </w:r>
            <w:r w:rsidR="0034357C" w:rsidRPr="00AE595D">
              <w:t xml:space="preserve">prevention protocol for geriatric patients </w:t>
            </w:r>
          </w:p>
          <w:p w14:paraId="354061B3" w14:textId="15DDAE4A" w:rsidR="002E4F5F" w:rsidRDefault="00D21923" w:rsidP="00846BFB">
            <w:pPr>
              <w:pStyle w:val="TableParagraph"/>
              <w:numPr>
                <w:ilvl w:val="0"/>
                <w:numId w:val="51"/>
              </w:numPr>
              <w:spacing w:after="120" w:line="240" w:lineRule="auto"/>
            </w:pPr>
            <w:r w:rsidRPr="00AE595D">
              <w:t>A standardized delirium prevention protocol should be used to assess for preoperative delirium and to prevent postoperative delirium in geriatric patients</w:t>
            </w:r>
          </w:p>
          <w:p w14:paraId="01F0E6E0" w14:textId="77777777" w:rsidR="002E4F5F" w:rsidRPr="009B185A" w:rsidRDefault="002E4F5F" w:rsidP="00846BFB">
            <w:pPr>
              <w:pStyle w:val="TableParagraph"/>
              <w:spacing w:after="120" w:line="240" w:lineRule="auto"/>
              <w:rPr>
                <w:i/>
                <w:u w:val="single"/>
              </w:rPr>
            </w:pPr>
            <w:r w:rsidRPr="009B185A">
              <w:rPr>
                <w:i/>
                <w:u w:val="single"/>
              </w:rPr>
              <w:t xml:space="preserve">Emergency General Surgery Major Abdominal Surgery </w:t>
            </w:r>
            <w:r w:rsidR="009B185A" w:rsidRPr="009B185A">
              <w:rPr>
                <w:i/>
                <w:u w:val="single"/>
              </w:rPr>
              <w:t>Considerations</w:t>
            </w:r>
            <w:r w:rsidRPr="009B185A">
              <w:rPr>
                <w:i/>
                <w:u w:val="single"/>
              </w:rPr>
              <w:t>:</w:t>
            </w:r>
          </w:p>
          <w:p w14:paraId="11D5C07F" w14:textId="747409DF" w:rsidR="002E4F5F" w:rsidRPr="002E4F5F" w:rsidRDefault="002E4F5F" w:rsidP="00846BFB">
            <w:pPr>
              <w:pStyle w:val="TableParagraph"/>
              <w:numPr>
                <w:ilvl w:val="0"/>
                <w:numId w:val="51"/>
              </w:numPr>
              <w:spacing w:after="120" w:line="240" w:lineRule="auto"/>
            </w:pPr>
            <w:r w:rsidRPr="002E4F5F">
              <w:t>Assess the patient’s physiologic condition on presentation for signs of sepsis or other physiologic derangements</w:t>
            </w:r>
          </w:p>
          <w:p w14:paraId="5046868E" w14:textId="2EBF494C" w:rsidR="002E4F5F" w:rsidRPr="00AE595D" w:rsidRDefault="002E4F5F" w:rsidP="00846BFB">
            <w:pPr>
              <w:pStyle w:val="TableParagraph"/>
              <w:numPr>
                <w:ilvl w:val="0"/>
                <w:numId w:val="51"/>
              </w:numPr>
              <w:spacing w:after="120" w:line="240" w:lineRule="auto"/>
            </w:pPr>
            <w:r w:rsidRPr="002E4F5F">
              <w:t>If patient shows signs of sepsis</w:t>
            </w:r>
            <w:r w:rsidR="005F22B3">
              <w:t>,</w:t>
            </w:r>
            <w:r w:rsidRPr="002E4F5F">
              <w:t xml:space="preserve"> initiate antibiotics early, provide fluid resuscitation, and consider admission to </w:t>
            </w:r>
            <w:r w:rsidR="00D063E9">
              <w:t>the intensive care unit</w:t>
            </w:r>
          </w:p>
        </w:tc>
        <w:tc>
          <w:tcPr>
            <w:tcW w:w="572" w:type="pct"/>
            <w:hideMark/>
          </w:tcPr>
          <w:p w14:paraId="3CA4CBD4" w14:textId="2A426A4B" w:rsidR="00AE5F35" w:rsidRPr="00AE595D" w:rsidRDefault="00001AAC" w:rsidP="002435FA">
            <w:pPr>
              <w:pStyle w:val="TableParagraph"/>
            </w:pPr>
            <w:r w:rsidRPr="007C7841">
              <w:rPr>
                <w:rFonts w:eastAsia="Times New Roman" w:cs="Times New Roman"/>
                <w:i/>
                <w:color w:val="000000"/>
              </w:rPr>
              <w:lastRenderedPageBreak/>
              <w:t xml:space="preserve">Enter </w:t>
            </w:r>
            <w:r w:rsidR="005F22B3">
              <w:rPr>
                <w:rFonts w:eastAsia="Times New Roman" w:cs="Times New Roman"/>
                <w:i/>
                <w:color w:val="000000"/>
              </w:rPr>
              <w:t xml:space="preserve">team decisions/notes </w:t>
            </w:r>
            <w:r w:rsidRPr="007C7841">
              <w:rPr>
                <w:rFonts w:eastAsia="Times New Roman" w:cs="Times New Roman"/>
                <w:i/>
                <w:color w:val="000000"/>
              </w:rPr>
              <w:t>here</w:t>
            </w:r>
          </w:p>
        </w:tc>
        <w:tc>
          <w:tcPr>
            <w:tcW w:w="813" w:type="pct"/>
            <w:hideMark/>
          </w:tcPr>
          <w:p w14:paraId="192C607B" w14:textId="251BB4D8" w:rsidR="00AE5F35" w:rsidRPr="00AE595D" w:rsidRDefault="003023A5" w:rsidP="002435FA">
            <w:pPr>
              <w:pStyle w:val="TableParagraph"/>
            </w:pPr>
            <w:r>
              <w:rPr>
                <w:b/>
              </w:rPr>
              <w:t>Tip</w:t>
            </w:r>
            <w:r w:rsidR="00AE5F35" w:rsidRPr="00FD7FDA">
              <w:rPr>
                <w:b/>
              </w:rPr>
              <w:t>:</w:t>
            </w:r>
            <w:r w:rsidR="00AE5F35" w:rsidRPr="00AE595D">
              <w:t xml:space="preserve"> Identify an endocrinologist or primary care provider at your hospital who could be a point person to help you with patients who do not have an established provider</w:t>
            </w:r>
            <w:r w:rsidR="008A4CA8">
              <w:t>.</w:t>
            </w:r>
          </w:p>
          <w:p w14:paraId="567E07B4" w14:textId="32F59989" w:rsidR="00AE5F35" w:rsidRDefault="003023A5" w:rsidP="002435FA">
            <w:pPr>
              <w:pStyle w:val="TableParagraph"/>
            </w:pPr>
            <w:r>
              <w:rPr>
                <w:b/>
              </w:rPr>
              <w:t>Tip</w:t>
            </w:r>
            <w:r w:rsidR="00AE5F35" w:rsidRPr="00FD7FDA">
              <w:rPr>
                <w:b/>
              </w:rPr>
              <w:t>:</w:t>
            </w:r>
            <w:r w:rsidR="00AE5F35" w:rsidRPr="00AE595D">
              <w:t xml:space="preserve"> Partner with primary care physicians to evaluate unexplained anemia.</w:t>
            </w:r>
          </w:p>
          <w:p w14:paraId="3BFA66FF" w14:textId="77777777" w:rsidR="002E4F5F" w:rsidRDefault="002E4F5F" w:rsidP="002435FA">
            <w:pPr>
              <w:pStyle w:val="TableParagraph"/>
            </w:pPr>
          </w:p>
          <w:p w14:paraId="104E1FFA" w14:textId="77777777" w:rsidR="002E4F5F" w:rsidRDefault="002E4F5F" w:rsidP="002435FA">
            <w:pPr>
              <w:pStyle w:val="TableParagraph"/>
            </w:pPr>
          </w:p>
          <w:p w14:paraId="202D7D68" w14:textId="77777777" w:rsidR="002E4F5F" w:rsidRDefault="002E4F5F" w:rsidP="002435FA">
            <w:pPr>
              <w:pStyle w:val="TableParagraph"/>
            </w:pPr>
          </w:p>
          <w:p w14:paraId="0C30D27B" w14:textId="77777777" w:rsidR="002E4F5F" w:rsidRDefault="002E4F5F" w:rsidP="002435FA">
            <w:pPr>
              <w:pStyle w:val="TableParagraph"/>
            </w:pPr>
          </w:p>
          <w:p w14:paraId="4807680A" w14:textId="77777777" w:rsidR="002E4F5F" w:rsidRDefault="002E4F5F" w:rsidP="002435FA">
            <w:pPr>
              <w:pStyle w:val="TableParagraph"/>
            </w:pPr>
          </w:p>
          <w:p w14:paraId="5F2F19AD" w14:textId="77777777" w:rsidR="002E4F5F" w:rsidRDefault="002E4F5F" w:rsidP="002435FA">
            <w:pPr>
              <w:pStyle w:val="TableParagraph"/>
            </w:pPr>
          </w:p>
          <w:p w14:paraId="2CF8FE15" w14:textId="77777777" w:rsidR="002E4F5F" w:rsidRDefault="002E4F5F" w:rsidP="002435FA">
            <w:pPr>
              <w:pStyle w:val="TableParagraph"/>
            </w:pPr>
          </w:p>
          <w:p w14:paraId="6738253F" w14:textId="77777777" w:rsidR="002E4F5F" w:rsidRDefault="002E4F5F" w:rsidP="002435FA">
            <w:pPr>
              <w:pStyle w:val="TableParagraph"/>
            </w:pPr>
          </w:p>
          <w:p w14:paraId="6FF9D5E0" w14:textId="77777777" w:rsidR="002E4F5F" w:rsidRDefault="002E4F5F" w:rsidP="002435FA">
            <w:pPr>
              <w:pStyle w:val="TableParagraph"/>
            </w:pPr>
          </w:p>
          <w:p w14:paraId="5E8ED31B" w14:textId="77777777" w:rsidR="002E4F5F" w:rsidRDefault="002E4F5F" w:rsidP="002435FA">
            <w:pPr>
              <w:pStyle w:val="TableParagraph"/>
            </w:pPr>
          </w:p>
          <w:p w14:paraId="28459FD5" w14:textId="77777777" w:rsidR="002E4F5F" w:rsidRDefault="002E4F5F" w:rsidP="002435FA">
            <w:pPr>
              <w:pStyle w:val="TableParagraph"/>
            </w:pPr>
          </w:p>
          <w:p w14:paraId="12116CDF" w14:textId="77777777" w:rsidR="002E4F5F" w:rsidRDefault="002E4F5F" w:rsidP="002435FA">
            <w:pPr>
              <w:pStyle w:val="TableParagraph"/>
            </w:pPr>
          </w:p>
          <w:p w14:paraId="418A6D38" w14:textId="77777777" w:rsidR="002E4F5F" w:rsidRDefault="002E4F5F" w:rsidP="002435FA">
            <w:pPr>
              <w:pStyle w:val="TableParagraph"/>
            </w:pPr>
          </w:p>
          <w:p w14:paraId="768CDEBF" w14:textId="77777777" w:rsidR="00846BFB" w:rsidRDefault="00846BFB" w:rsidP="002435FA">
            <w:pPr>
              <w:pStyle w:val="TableParagraph"/>
              <w:rPr>
                <w:b/>
              </w:rPr>
            </w:pPr>
          </w:p>
          <w:p w14:paraId="154A4AB0" w14:textId="77777777" w:rsidR="00846BFB" w:rsidRDefault="00846BFB" w:rsidP="002435FA">
            <w:pPr>
              <w:pStyle w:val="TableParagraph"/>
              <w:rPr>
                <w:b/>
              </w:rPr>
            </w:pPr>
          </w:p>
          <w:p w14:paraId="5E1FFACE" w14:textId="77777777" w:rsidR="009733EE" w:rsidRDefault="009733EE" w:rsidP="002435FA">
            <w:pPr>
              <w:pStyle w:val="TableParagraph"/>
              <w:rPr>
                <w:b/>
              </w:rPr>
            </w:pPr>
          </w:p>
          <w:p w14:paraId="0BE5ABDF" w14:textId="2BD50F69" w:rsidR="002E4F5F" w:rsidRPr="00AE595D" w:rsidRDefault="003023A5" w:rsidP="002435FA">
            <w:pPr>
              <w:pStyle w:val="TableParagraph"/>
            </w:pPr>
            <w:r>
              <w:rPr>
                <w:b/>
              </w:rPr>
              <w:t>Tip</w:t>
            </w:r>
            <w:r w:rsidR="002E4F5F" w:rsidRPr="002E4F5F">
              <w:rPr>
                <w:b/>
              </w:rPr>
              <w:t xml:space="preserve">: </w:t>
            </w:r>
            <w:r w:rsidR="0044275D">
              <w:t>Some</w:t>
            </w:r>
            <w:r w:rsidR="00244773">
              <w:t xml:space="preserve"> </w:t>
            </w:r>
            <w:r w:rsidR="0044275D">
              <w:t xml:space="preserve">electronic health record systems have clinical decision support that </w:t>
            </w:r>
            <w:r w:rsidR="002E4F5F" w:rsidRPr="002E4F5F">
              <w:t>can be helpful in flagging triggers</w:t>
            </w:r>
            <w:r w:rsidR="00767D59">
              <w:t xml:space="preserve"> (e.g., low blood pressure, high temperature)</w:t>
            </w:r>
            <w:r w:rsidR="002E4F5F" w:rsidRPr="002E4F5F">
              <w:t xml:space="preserve"> </w:t>
            </w:r>
            <w:r w:rsidR="0044275D">
              <w:t>to begin</w:t>
            </w:r>
            <w:r w:rsidR="0044275D" w:rsidRPr="002E4F5F">
              <w:t xml:space="preserve"> </w:t>
            </w:r>
            <w:r w:rsidR="002E4F5F" w:rsidRPr="002E4F5F">
              <w:t>sepsis</w:t>
            </w:r>
            <w:r w:rsidR="0044275D">
              <w:t xml:space="preserve"> screening protocols</w:t>
            </w:r>
            <w:r w:rsidR="002E4F5F" w:rsidRPr="002E4F5F">
              <w:t>.</w:t>
            </w:r>
          </w:p>
        </w:tc>
        <w:tc>
          <w:tcPr>
            <w:tcW w:w="751" w:type="pct"/>
            <w:hideMark/>
          </w:tcPr>
          <w:p w14:paraId="04FF473B" w14:textId="21645210" w:rsidR="005935F1" w:rsidRDefault="005935F1" w:rsidP="002435FA">
            <w:pPr>
              <w:pStyle w:val="TableParagraph"/>
            </w:pPr>
            <w:r w:rsidRPr="005935F1">
              <w:lastRenderedPageBreak/>
              <w:t>Preadmission counseling, examples include:</w:t>
            </w:r>
          </w:p>
          <w:p w14:paraId="20AD04B5" w14:textId="289A65E1" w:rsidR="008A245C" w:rsidRDefault="008A245C" w:rsidP="002435FA">
            <w:pPr>
              <w:pStyle w:val="TableParagraph"/>
            </w:pPr>
          </w:p>
          <w:p w14:paraId="46431F36" w14:textId="1811367B" w:rsidR="008A245C" w:rsidRDefault="008A245C" w:rsidP="002435FA">
            <w:pPr>
              <w:pStyle w:val="TableParagraph"/>
            </w:pPr>
          </w:p>
          <w:p w14:paraId="6763DAAF" w14:textId="77777777" w:rsidR="008A245C" w:rsidRPr="005935F1" w:rsidRDefault="008A245C" w:rsidP="002435FA">
            <w:pPr>
              <w:pStyle w:val="TableParagraph"/>
            </w:pPr>
          </w:p>
          <w:p w14:paraId="505C6545" w14:textId="2FF5BC26" w:rsidR="00AE5F35" w:rsidRPr="008B72B3" w:rsidRDefault="00AE5F35" w:rsidP="005935F1">
            <w:pPr>
              <w:pStyle w:val="Bullet1"/>
              <w:spacing w:line="240" w:lineRule="auto"/>
              <w:ind w:left="432"/>
              <w:rPr>
                <w:color w:val="000000"/>
              </w:rPr>
            </w:pPr>
            <w:r w:rsidRPr="008B72B3">
              <w:t xml:space="preserve">Smoking </w:t>
            </w:r>
            <w:r w:rsidR="0034357C" w:rsidRPr="008B72B3">
              <w:t xml:space="preserve">cessation – 4 weeks </w:t>
            </w:r>
            <w:r w:rsidR="0034357C">
              <w:t>before surgery</w:t>
            </w:r>
            <w:r w:rsidR="0034357C" w:rsidRPr="008B72B3">
              <w:t xml:space="preserve"> </w:t>
            </w:r>
            <w:r w:rsidR="0034357C">
              <w:t xml:space="preserve"> </w:t>
            </w:r>
          </w:p>
          <w:p w14:paraId="07FFF506" w14:textId="4ED85AD8" w:rsidR="009522A9" w:rsidRDefault="009522A9" w:rsidP="009522A9">
            <w:pPr>
              <w:pStyle w:val="Bullet1"/>
              <w:numPr>
                <w:ilvl w:val="0"/>
                <w:numId w:val="0"/>
              </w:numPr>
              <w:spacing w:line="240" w:lineRule="auto"/>
              <w:ind w:left="432"/>
            </w:pPr>
          </w:p>
          <w:p w14:paraId="5D21EA02" w14:textId="791B2AE3" w:rsidR="009522A9" w:rsidRDefault="009522A9" w:rsidP="009522A9">
            <w:pPr>
              <w:pStyle w:val="Bullet1"/>
              <w:numPr>
                <w:ilvl w:val="0"/>
                <w:numId w:val="0"/>
              </w:numPr>
              <w:spacing w:line="240" w:lineRule="auto"/>
              <w:ind w:left="432"/>
            </w:pPr>
          </w:p>
          <w:p w14:paraId="22493057" w14:textId="6CD04668" w:rsidR="009522A9" w:rsidRDefault="009522A9" w:rsidP="009522A9">
            <w:pPr>
              <w:pStyle w:val="Bullet1"/>
              <w:numPr>
                <w:ilvl w:val="0"/>
                <w:numId w:val="0"/>
              </w:numPr>
              <w:spacing w:line="240" w:lineRule="auto"/>
              <w:ind w:left="432"/>
            </w:pPr>
          </w:p>
          <w:p w14:paraId="0D29E498" w14:textId="1B334269" w:rsidR="009522A9" w:rsidRDefault="009522A9" w:rsidP="009522A9">
            <w:pPr>
              <w:pStyle w:val="Bullet1"/>
              <w:numPr>
                <w:ilvl w:val="0"/>
                <w:numId w:val="0"/>
              </w:numPr>
              <w:spacing w:line="240" w:lineRule="auto"/>
              <w:ind w:left="432"/>
            </w:pPr>
          </w:p>
          <w:p w14:paraId="1887698C" w14:textId="1DE8EA91" w:rsidR="009522A9" w:rsidRDefault="009522A9" w:rsidP="009522A9">
            <w:pPr>
              <w:pStyle w:val="Bullet1"/>
              <w:numPr>
                <w:ilvl w:val="0"/>
                <w:numId w:val="0"/>
              </w:numPr>
              <w:spacing w:line="240" w:lineRule="auto"/>
              <w:ind w:left="432"/>
            </w:pPr>
          </w:p>
          <w:p w14:paraId="0B7B73D4" w14:textId="1A173381" w:rsidR="009522A9" w:rsidRDefault="009522A9" w:rsidP="009522A9">
            <w:pPr>
              <w:pStyle w:val="Bullet1"/>
              <w:numPr>
                <w:ilvl w:val="0"/>
                <w:numId w:val="0"/>
              </w:numPr>
              <w:spacing w:line="240" w:lineRule="auto"/>
              <w:ind w:left="432"/>
            </w:pPr>
          </w:p>
          <w:p w14:paraId="7E45FF33" w14:textId="2C9060BC" w:rsidR="009522A9" w:rsidRDefault="009522A9" w:rsidP="009522A9">
            <w:pPr>
              <w:pStyle w:val="Bullet1"/>
              <w:numPr>
                <w:ilvl w:val="0"/>
                <w:numId w:val="0"/>
              </w:numPr>
              <w:spacing w:line="240" w:lineRule="auto"/>
            </w:pPr>
          </w:p>
          <w:p w14:paraId="39DBC565" w14:textId="77777777" w:rsidR="009F38EE" w:rsidRDefault="009F38EE" w:rsidP="009522A9">
            <w:pPr>
              <w:pStyle w:val="Bullet1"/>
              <w:numPr>
                <w:ilvl w:val="0"/>
                <w:numId w:val="0"/>
              </w:numPr>
              <w:spacing w:line="240" w:lineRule="auto"/>
            </w:pPr>
          </w:p>
          <w:p w14:paraId="6A402AB7" w14:textId="110BEC6D" w:rsidR="005935F1" w:rsidRPr="00AE595D" w:rsidRDefault="00151BD4" w:rsidP="009522A9">
            <w:pPr>
              <w:pStyle w:val="Bullet1"/>
              <w:spacing w:line="240" w:lineRule="auto"/>
              <w:ind w:left="432"/>
            </w:pPr>
            <w:r w:rsidRPr="008B72B3">
              <w:t xml:space="preserve">Outpatient </w:t>
            </w:r>
            <w:r w:rsidR="008B72B3" w:rsidRPr="008B72B3">
              <w:t>opioid</w:t>
            </w:r>
            <w:r w:rsidR="0034357C">
              <w:t xml:space="preserve"> use</w:t>
            </w:r>
            <w:r w:rsidR="008B72B3" w:rsidRPr="008B72B3">
              <w:t xml:space="preserve"> ≤ 10 days before admi</w:t>
            </w:r>
            <w:r w:rsidR="00C56456">
              <w:t>ssion</w:t>
            </w:r>
          </w:p>
        </w:tc>
      </w:tr>
    </w:tbl>
    <w:p w14:paraId="19302D89" w14:textId="607D3CE1" w:rsidR="00C724C3" w:rsidRPr="00AE595D" w:rsidRDefault="005F22B3" w:rsidP="00AE595D">
      <w:pPr>
        <w:spacing w:after="120" w:line="240" w:lineRule="auto"/>
      </w:pPr>
      <w:r w:rsidRPr="00AE595D">
        <w:lastRenderedPageBreak/>
        <w:t>Abbreviations:</w:t>
      </w:r>
      <w:r>
        <w:t xml:space="preserve"> ISCR = Improving Surgical Care and Recovery</w:t>
      </w:r>
    </w:p>
    <w:p w14:paraId="684F9BA9" w14:textId="77777777" w:rsidR="00AE5F35" w:rsidRPr="00AE595D" w:rsidRDefault="00AE5F35" w:rsidP="00AE595D">
      <w:pPr>
        <w:spacing w:after="120" w:line="240" w:lineRule="auto"/>
      </w:pPr>
    </w:p>
    <w:p w14:paraId="511399C1" w14:textId="77777777" w:rsidR="00D17D09" w:rsidRPr="00AE595D" w:rsidRDefault="00D17D09" w:rsidP="00AE595D">
      <w:pPr>
        <w:spacing w:after="120" w:line="240" w:lineRule="auto"/>
        <w:rPr>
          <w:b/>
        </w:rPr>
      </w:pPr>
      <w:r w:rsidRPr="00AE595D">
        <w:rPr>
          <w:b/>
        </w:rPr>
        <w:br w:type="page"/>
      </w:r>
    </w:p>
    <w:p w14:paraId="77FE6883" w14:textId="1179DB7B" w:rsidR="00D17D09" w:rsidRDefault="006B773F">
      <w:pPr>
        <w:pStyle w:val="Heading2"/>
      </w:pPr>
      <w:bookmarkStart w:id="5" w:name="_Toc117000792"/>
      <w:r w:rsidRPr="00AE595D">
        <w:lastRenderedPageBreak/>
        <w:t xml:space="preserve">Preoperative </w:t>
      </w:r>
      <w:r w:rsidR="00B84592" w:rsidRPr="00B84592">
        <w:t xml:space="preserve">Venous Thromboembolism </w:t>
      </w:r>
      <w:r w:rsidRPr="00AE595D">
        <w:t>Prophylaxis</w:t>
      </w:r>
      <w:bookmarkEnd w:id="5"/>
    </w:p>
    <w:p w14:paraId="75FC5CE7" w14:textId="759BC354" w:rsidR="00A466F9" w:rsidRPr="00EC3092" w:rsidRDefault="00A466F9" w:rsidP="00EC3092">
      <w:pPr>
        <w:pStyle w:val="BodyText1"/>
      </w:pPr>
      <w:r w:rsidRPr="00EC3092">
        <w:t xml:space="preserve">Preoperative administration of a single dose of </w:t>
      </w:r>
      <w:r w:rsidR="0055266A">
        <w:t>v</w:t>
      </w:r>
      <w:r w:rsidR="007E13E2" w:rsidRPr="007E13E2">
        <w:t xml:space="preserve">enous </w:t>
      </w:r>
      <w:r w:rsidR="007E13E2">
        <w:t>t</w:t>
      </w:r>
      <w:r w:rsidR="007E13E2" w:rsidRPr="007E13E2">
        <w:t xml:space="preserve">hromboembolism </w:t>
      </w:r>
      <w:r w:rsidR="0055266A">
        <w:t>(</w:t>
      </w:r>
      <w:r w:rsidRPr="00EC3092">
        <w:t>VTE</w:t>
      </w:r>
      <w:r w:rsidR="0055266A">
        <w:t>)</w:t>
      </w:r>
      <w:r w:rsidRPr="00EC3092">
        <w:t xml:space="preserve"> chemoprophylaxis (in patients without contraindication</w:t>
      </w:r>
      <w:r w:rsidR="003943E8">
        <w:t>s</w:t>
      </w:r>
      <w:r w:rsidRPr="00EC3092">
        <w:t xml:space="preserve">) and the use of sequential compression devices beginning prior to anesthesia induction are recommended. Timing of VTE chemoprophylaxis administration should </w:t>
      </w:r>
      <w:r w:rsidR="00EC3092" w:rsidRPr="00EC3092">
        <w:t>consider</w:t>
      </w:r>
      <w:r w:rsidRPr="00EC3092">
        <w:t xml:space="preserve"> the need for performing regional analgesia. </w:t>
      </w:r>
    </w:p>
    <w:p w14:paraId="6D84F8BC" w14:textId="6FF1EEBF" w:rsidR="00A466F9" w:rsidRPr="00EC3092" w:rsidRDefault="00A466F9" w:rsidP="00EC3092">
      <w:pPr>
        <w:pStyle w:val="BodyText1"/>
      </w:pPr>
      <w:bookmarkStart w:id="6" w:name="_Hlk111643508"/>
      <w:r w:rsidRPr="00EC3092">
        <w:rPr>
          <w:i/>
        </w:rPr>
        <w:t>Considerations for</w:t>
      </w:r>
      <w:r w:rsidR="0044275D">
        <w:rPr>
          <w:i/>
        </w:rPr>
        <w:t xml:space="preserve"> </w:t>
      </w:r>
      <w:r w:rsidR="009F043E" w:rsidRPr="002D5F97">
        <w:rPr>
          <w:i/>
          <w:iCs/>
        </w:rPr>
        <w:t>emergency general surgery</w:t>
      </w:r>
      <w:r w:rsidR="006F5630">
        <w:rPr>
          <w:i/>
          <w:iCs/>
        </w:rPr>
        <w:t xml:space="preserve"> (EGS)</w:t>
      </w:r>
      <w:r w:rsidRPr="00EC3092">
        <w:rPr>
          <w:i/>
        </w:rPr>
        <w:t xml:space="preserve"> </w:t>
      </w:r>
      <w:r w:rsidR="0044275D">
        <w:rPr>
          <w:i/>
        </w:rPr>
        <w:t>(</w:t>
      </w:r>
      <w:r w:rsidRPr="00EC3092">
        <w:rPr>
          <w:i/>
        </w:rPr>
        <w:t>major abdominal procedures</w:t>
      </w:r>
      <w:bookmarkEnd w:id="6"/>
      <w:r w:rsidR="0044275D">
        <w:rPr>
          <w:i/>
        </w:rPr>
        <w:t>)</w:t>
      </w:r>
      <w:r w:rsidRPr="00EC3092">
        <w:t>: The necessity of routine preoperative VTE prophylaxis for low</w:t>
      </w:r>
      <w:r w:rsidR="00FC6D8E">
        <w:t>-</w:t>
      </w:r>
      <w:r w:rsidRPr="00EC3092">
        <w:t>complexity EGS patients is unclear; therefore, risk</w:t>
      </w:r>
      <w:r w:rsidR="00FC6D8E">
        <w:t xml:space="preserve"> </w:t>
      </w:r>
      <w:r w:rsidRPr="00EC3092">
        <w:t xml:space="preserve">assessment of every patient is recommended. Patients undergoing </w:t>
      </w:r>
      <w:r w:rsidR="003023A5">
        <w:t xml:space="preserve">emergency </w:t>
      </w:r>
      <w:r w:rsidRPr="00EC3092">
        <w:t>major abdominal surgery are at higher risk for VTE and should have chemo</w:t>
      </w:r>
      <w:r w:rsidR="00E409F1">
        <w:t>prophylaxis</w:t>
      </w:r>
      <w:r w:rsidRPr="00EC3092">
        <w:t xml:space="preserve"> and mechanical prophylaxis initiated upon presentation.</w:t>
      </w:r>
    </w:p>
    <w:tbl>
      <w:tblPr>
        <w:tblStyle w:val="GridTable1Light1"/>
        <w:tblW w:w="5000" w:type="pct"/>
        <w:tblLook w:val="0600" w:firstRow="0" w:lastRow="0" w:firstColumn="0" w:lastColumn="0" w:noHBand="1" w:noVBand="1"/>
      </w:tblPr>
      <w:tblGrid>
        <w:gridCol w:w="1977"/>
        <w:gridCol w:w="3330"/>
        <w:gridCol w:w="6577"/>
        <w:gridCol w:w="3786"/>
        <w:gridCol w:w="3878"/>
        <w:gridCol w:w="3482"/>
      </w:tblGrid>
      <w:tr w:rsidR="00D17D09" w:rsidRPr="00AE595D" w14:paraId="71E7E766" w14:textId="77777777" w:rsidTr="009C7C23">
        <w:trPr>
          <w:cantSplit/>
          <w:trHeight w:val="973"/>
          <w:tblHeader/>
        </w:trPr>
        <w:tc>
          <w:tcPr>
            <w:tcW w:w="429" w:type="pct"/>
            <w:hideMark/>
          </w:tcPr>
          <w:p w14:paraId="21473704" w14:textId="2CF29B28" w:rsidR="00D17D09" w:rsidRPr="00AE595D" w:rsidRDefault="00D17D09" w:rsidP="00AE595D">
            <w:pPr>
              <w:spacing w:after="120" w:line="240" w:lineRule="auto"/>
              <w:ind w:left="159"/>
            </w:pPr>
            <w:r w:rsidRPr="00AE595D">
              <w:rPr>
                <w:b/>
                <w:bCs/>
              </w:rPr>
              <w:t xml:space="preserve">Pathway </w:t>
            </w:r>
          </w:p>
        </w:tc>
        <w:tc>
          <w:tcPr>
            <w:tcW w:w="723" w:type="pct"/>
            <w:hideMark/>
          </w:tcPr>
          <w:p w14:paraId="44164B87" w14:textId="77777777" w:rsidR="00D17D09" w:rsidRPr="00AE595D" w:rsidRDefault="00D17D09" w:rsidP="00AE595D">
            <w:pPr>
              <w:spacing w:after="120" w:line="240" w:lineRule="auto"/>
              <w:rPr>
                <w:b/>
                <w:bCs/>
              </w:rPr>
            </w:pPr>
            <w:r w:rsidRPr="00AE595D">
              <w:rPr>
                <w:b/>
                <w:bCs/>
              </w:rPr>
              <w:t>Component</w:t>
            </w:r>
          </w:p>
        </w:tc>
        <w:tc>
          <w:tcPr>
            <w:tcW w:w="1428" w:type="pct"/>
            <w:hideMark/>
          </w:tcPr>
          <w:p w14:paraId="265C40ED" w14:textId="2F60FC6A" w:rsidR="009B185A" w:rsidRDefault="00D17D09" w:rsidP="00AE595D">
            <w:pPr>
              <w:spacing w:after="120" w:line="240" w:lineRule="auto"/>
              <w:rPr>
                <w:b/>
                <w:bCs/>
              </w:rPr>
            </w:pPr>
            <w:r w:rsidRPr="00AE595D">
              <w:rPr>
                <w:b/>
                <w:bCs/>
              </w:rPr>
              <w:t xml:space="preserve">Example Processes </w:t>
            </w:r>
            <w:r w:rsidR="00FC6D8E">
              <w:rPr>
                <w:b/>
                <w:bCs/>
              </w:rPr>
              <w:t>T</w:t>
            </w:r>
            <w:r w:rsidRPr="00AE595D">
              <w:rPr>
                <w:b/>
                <w:bCs/>
              </w:rPr>
              <w:t>o Consider</w:t>
            </w:r>
          </w:p>
          <w:p w14:paraId="3C33977E" w14:textId="77777777" w:rsidR="00D17D09" w:rsidRPr="009B185A" w:rsidRDefault="00D17D09" w:rsidP="00AE595D">
            <w:pPr>
              <w:spacing w:after="120" w:line="240" w:lineRule="auto"/>
              <w:rPr>
                <w:i/>
              </w:rPr>
            </w:pPr>
            <w:r w:rsidRPr="009B185A">
              <w:rPr>
                <w:bCs/>
                <w:i/>
              </w:rPr>
              <w:t>As a team, go through each component and discuss what approach best fits your hospital. It may be an option other than what is listed below.</w:t>
            </w:r>
          </w:p>
        </w:tc>
        <w:tc>
          <w:tcPr>
            <w:tcW w:w="822" w:type="pct"/>
            <w:hideMark/>
          </w:tcPr>
          <w:p w14:paraId="22479CFC" w14:textId="77777777" w:rsidR="00D17D09" w:rsidRPr="00AE595D" w:rsidRDefault="00D17D09" w:rsidP="00AE595D">
            <w:pPr>
              <w:spacing w:after="120" w:line="240" w:lineRule="auto"/>
            </w:pPr>
            <w:r w:rsidRPr="00AE595D">
              <w:rPr>
                <w:b/>
                <w:bCs/>
              </w:rPr>
              <w:t>Team Decisions/Notes</w:t>
            </w:r>
          </w:p>
          <w:p w14:paraId="305E2BB7" w14:textId="77777777" w:rsidR="00D17D09" w:rsidRPr="009B185A" w:rsidRDefault="00D17D09" w:rsidP="00AE595D">
            <w:pPr>
              <w:spacing w:after="120" w:line="240" w:lineRule="auto"/>
              <w:rPr>
                <w:i/>
              </w:rPr>
            </w:pPr>
            <w:r w:rsidRPr="009B185A">
              <w:rPr>
                <w:bCs/>
                <w:i/>
              </w:rPr>
              <w:t>As a team, note exceptions and contraindications to the treatment or medications.</w:t>
            </w:r>
          </w:p>
        </w:tc>
        <w:tc>
          <w:tcPr>
            <w:tcW w:w="842" w:type="pct"/>
            <w:hideMark/>
          </w:tcPr>
          <w:p w14:paraId="27BFDFDA" w14:textId="083FE00B" w:rsidR="00D17D09" w:rsidRPr="00AE595D" w:rsidRDefault="00AA140E" w:rsidP="00AE595D">
            <w:pPr>
              <w:spacing w:after="120" w:line="240" w:lineRule="auto"/>
            </w:pPr>
            <w:r>
              <w:rPr>
                <w:b/>
                <w:bCs/>
              </w:rPr>
              <w:t xml:space="preserve">Other Available Resources </w:t>
            </w:r>
            <w:r w:rsidR="00FC6D8E">
              <w:rPr>
                <w:b/>
                <w:bCs/>
              </w:rPr>
              <w:t>and</w:t>
            </w:r>
            <w:r>
              <w:rPr>
                <w:b/>
                <w:bCs/>
              </w:rPr>
              <w:t xml:space="preserve"> Tips </w:t>
            </w:r>
            <w:r w:rsidR="00FC6D8E">
              <w:rPr>
                <w:b/>
                <w:bCs/>
              </w:rPr>
              <w:t>T</w:t>
            </w:r>
            <w:r>
              <w:rPr>
                <w:b/>
                <w:bCs/>
              </w:rPr>
              <w:t>o Consider</w:t>
            </w:r>
          </w:p>
        </w:tc>
        <w:tc>
          <w:tcPr>
            <w:tcW w:w="756" w:type="pct"/>
            <w:hideMark/>
          </w:tcPr>
          <w:p w14:paraId="06FB75E8" w14:textId="77777777" w:rsidR="00D17D09" w:rsidRDefault="00D63FC9" w:rsidP="009B185A">
            <w:pPr>
              <w:spacing w:after="120" w:line="240" w:lineRule="auto"/>
              <w:ind w:left="78" w:firstLine="9"/>
              <w:rPr>
                <w:b/>
                <w:bCs/>
              </w:rPr>
            </w:pPr>
            <w:r w:rsidRPr="00D63FC9">
              <w:rPr>
                <w:b/>
                <w:bCs/>
              </w:rPr>
              <w:t>ISCR Measures</w:t>
            </w:r>
          </w:p>
          <w:p w14:paraId="77E6F23C" w14:textId="77777777" w:rsidR="00745B3F" w:rsidRPr="00AE595D" w:rsidRDefault="00745B3F" w:rsidP="009B185A">
            <w:pPr>
              <w:spacing w:after="120" w:line="240" w:lineRule="auto"/>
              <w:ind w:left="78" w:firstLine="9"/>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D17D09" w:rsidRPr="00AE595D" w14:paraId="2EC46DC4" w14:textId="77777777" w:rsidTr="009C7C23">
        <w:trPr>
          <w:cantSplit/>
          <w:trHeight w:val="334"/>
        </w:trPr>
        <w:tc>
          <w:tcPr>
            <w:tcW w:w="429" w:type="pct"/>
            <w:hideMark/>
          </w:tcPr>
          <w:p w14:paraId="68A51AC7" w14:textId="77777777" w:rsidR="00D17D09" w:rsidRPr="007D43FC" w:rsidRDefault="003C13EE" w:rsidP="00AE595D">
            <w:pPr>
              <w:spacing w:after="120" w:line="240" w:lineRule="auto"/>
              <w:ind w:left="159"/>
              <w:rPr>
                <w:b/>
              </w:rPr>
            </w:pPr>
            <w:r w:rsidRPr="007D43FC">
              <w:rPr>
                <w:b/>
              </w:rPr>
              <w:t xml:space="preserve">All </w:t>
            </w:r>
            <w:r w:rsidR="004F6155" w:rsidRPr="007D43FC">
              <w:rPr>
                <w:b/>
              </w:rPr>
              <w:t xml:space="preserve">ISCR </w:t>
            </w:r>
            <w:r w:rsidRPr="007D43FC">
              <w:rPr>
                <w:b/>
              </w:rPr>
              <w:t>Pathways</w:t>
            </w:r>
          </w:p>
        </w:tc>
        <w:tc>
          <w:tcPr>
            <w:tcW w:w="723" w:type="pct"/>
          </w:tcPr>
          <w:p w14:paraId="210145B2" w14:textId="4C1ED995" w:rsidR="00D17D09" w:rsidRPr="00AE595D" w:rsidRDefault="00D17D09" w:rsidP="00AE595D">
            <w:pPr>
              <w:spacing w:after="120" w:line="240" w:lineRule="auto"/>
              <w:rPr>
                <w:b/>
                <w:bCs/>
              </w:rPr>
            </w:pPr>
            <w:r w:rsidRPr="00AE595D">
              <w:rPr>
                <w:b/>
                <w:bCs/>
              </w:rPr>
              <w:t xml:space="preserve">Preoperative </w:t>
            </w:r>
            <w:r w:rsidR="0005466C" w:rsidRPr="0005466C">
              <w:rPr>
                <w:b/>
              </w:rPr>
              <w:t>Venous Thromboembolism</w:t>
            </w:r>
            <w:r w:rsidR="0005466C" w:rsidRPr="00AE595D">
              <w:rPr>
                <w:b/>
                <w:bCs/>
              </w:rPr>
              <w:t xml:space="preserve"> </w:t>
            </w:r>
            <w:r w:rsidR="0005466C">
              <w:rPr>
                <w:b/>
                <w:bCs/>
              </w:rPr>
              <w:t>(</w:t>
            </w:r>
            <w:r w:rsidRPr="00AE595D">
              <w:rPr>
                <w:b/>
                <w:bCs/>
              </w:rPr>
              <w:t>VTE</w:t>
            </w:r>
            <w:r w:rsidR="0005466C">
              <w:rPr>
                <w:b/>
                <w:bCs/>
              </w:rPr>
              <w:t>)</w:t>
            </w:r>
            <w:r w:rsidRPr="00AE595D">
              <w:rPr>
                <w:b/>
                <w:bCs/>
              </w:rPr>
              <w:t xml:space="preserve"> Prophylaxis</w:t>
            </w:r>
            <w:r w:rsidR="0005466C">
              <w:rPr>
                <w:b/>
                <w:bCs/>
              </w:rPr>
              <w:t xml:space="preserve"> </w:t>
            </w:r>
          </w:p>
        </w:tc>
        <w:tc>
          <w:tcPr>
            <w:tcW w:w="1428" w:type="pct"/>
          </w:tcPr>
          <w:p w14:paraId="48DB8BBD" w14:textId="77777777" w:rsidR="00D17D09" w:rsidRPr="0019570D" w:rsidRDefault="007D43FC" w:rsidP="007C174E">
            <w:pPr>
              <w:spacing w:after="120" w:line="240" w:lineRule="auto"/>
              <w:rPr>
                <w:rFonts w:eastAsia="Times New Roman" w:cs="Times New Roman"/>
                <w:b/>
                <w:color w:val="000000"/>
              </w:rPr>
            </w:pPr>
            <w:r w:rsidRPr="0019570D">
              <w:rPr>
                <w:rFonts w:eastAsia="Times New Roman" w:cs="Times New Roman"/>
                <w:b/>
                <w:color w:val="000000"/>
              </w:rPr>
              <w:t>Choose your approach</w:t>
            </w:r>
            <w:r w:rsidR="00D17D09" w:rsidRPr="0019570D">
              <w:rPr>
                <w:rFonts w:eastAsia="Times New Roman" w:cs="Times New Roman"/>
                <w:b/>
                <w:color w:val="000000"/>
              </w:rPr>
              <w:t>:</w:t>
            </w:r>
          </w:p>
          <w:p w14:paraId="298CB5D7" w14:textId="77777777" w:rsidR="008F4F73" w:rsidRPr="0019570D" w:rsidRDefault="008F4F73" w:rsidP="00DA32AD">
            <w:pPr>
              <w:pStyle w:val="ListParagraph"/>
              <w:numPr>
                <w:ilvl w:val="0"/>
                <w:numId w:val="53"/>
              </w:numPr>
              <w:rPr>
                <w:rFonts w:eastAsia="Times New Roman" w:cs="Times New Roman"/>
                <w:color w:val="000000"/>
              </w:rPr>
            </w:pPr>
            <w:r w:rsidRPr="0019570D">
              <w:rPr>
                <w:rFonts w:eastAsia="Times New Roman" w:cs="Times New Roman"/>
                <w:color w:val="000000"/>
              </w:rPr>
              <w:t>Use a risk assessment tool for patients on presentation to stratify VTE risk</w:t>
            </w:r>
            <w:r w:rsidR="00AE7AB5" w:rsidRPr="0019570D">
              <w:rPr>
                <w:rFonts w:eastAsia="Times New Roman" w:cs="Times New Roman"/>
                <w:color w:val="000000"/>
                <w:vertAlign w:val="superscript"/>
              </w:rPr>
              <w:t>1</w:t>
            </w:r>
          </w:p>
          <w:p w14:paraId="1628CD54" w14:textId="6D9412A9" w:rsidR="00D17D09" w:rsidRPr="0019570D" w:rsidRDefault="00D17D09" w:rsidP="00DA32AD">
            <w:pPr>
              <w:pStyle w:val="ListParagraph"/>
              <w:numPr>
                <w:ilvl w:val="0"/>
                <w:numId w:val="53"/>
              </w:numPr>
              <w:spacing w:after="120" w:line="240" w:lineRule="auto"/>
              <w:contextualSpacing w:val="0"/>
              <w:rPr>
                <w:rFonts w:eastAsia="Times New Roman" w:cs="Times New Roman"/>
                <w:color w:val="000000"/>
              </w:rPr>
            </w:pPr>
            <w:r w:rsidRPr="0019570D">
              <w:rPr>
                <w:rFonts w:eastAsia="Times New Roman" w:cs="Times New Roman"/>
              </w:rPr>
              <w:t>Mechanical prophylaxis (e.g., sequential compression device) routinely</w:t>
            </w:r>
          </w:p>
          <w:p w14:paraId="3659C949" w14:textId="54D85432" w:rsidR="003C13EE" w:rsidRPr="00637722" w:rsidRDefault="00C10BD8" w:rsidP="00637722">
            <w:pPr>
              <w:pStyle w:val="ListParagraph"/>
              <w:numPr>
                <w:ilvl w:val="0"/>
                <w:numId w:val="53"/>
              </w:numPr>
              <w:rPr>
                <w:rStyle w:val="Hyperlink"/>
              </w:rPr>
            </w:pPr>
            <w:r>
              <w:rPr>
                <w:rFonts w:eastAsia="Times New Roman" w:cs="Times New Roman"/>
              </w:rPr>
              <w:t>Chemoprophylaxis</w:t>
            </w:r>
            <w:r w:rsidRPr="0019570D">
              <w:rPr>
                <w:rFonts w:eastAsia="Times New Roman" w:cs="Times New Roman"/>
              </w:rPr>
              <w:t xml:space="preserve"> </w:t>
            </w:r>
            <w:r w:rsidR="00D17D09" w:rsidRPr="0019570D">
              <w:rPr>
                <w:rFonts w:eastAsia="Times New Roman" w:cs="Times New Roman"/>
              </w:rPr>
              <w:t xml:space="preserve">should be administered </w:t>
            </w:r>
            <w:r w:rsidR="003943E8">
              <w:t>in</w:t>
            </w:r>
            <w:r w:rsidR="00AB1273">
              <w:t xml:space="preserve"> the</w:t>
            </w:r>
            <w:r w:rsidR="003943E8">
              <w:t xml:space="preserve"> </w:t>
            </w:r>
            <w:r w:rsidR="003943E8" w:rsidRPr="0019570D">
              <w:rPr>
                <w:rFonts w:eastAsia="Times New Roman" w:cs="Times New Roman"/>
                <w:color w:val="000000"/>
              </w:rPr>
              <w:t>immediate preoperative</w:t>
            </w:r>
            <w:r w:rsidR="003943E8">
              <w:rPr>
                <w:color w:val="000000"/>
              </w:rPr>
              <w:t xml:space="preserve"> period</w:t>
            </w:r>
            <w:r w:rsidR="003943E8" w:rsidRPr="0019570D">
              <w:rPr>
                <w:rFonts w:eastAsia="Times New Roman" w:cs="Times New Roman"/>
                <w:color w:val="000000"/>
              </w:rPr>
              <w:t xml:space="preserve"> </w:t>
            </w:r>
            <w:r w:rsidR="00D17D09" w:rsidRPr="0019570D">
              <w:rPr>
                <w:rFonts w:eastAsia="Times New Roman" w:cs="Times New Roman"/>
                <w:color w:val="000000"/>
              </w:rPr>
              <w:t>or intraoperatively</w:t>
            </w:r>
            <w:r w:rsidR="00D17D09" w:rsidRPr="0019570D">
              <w:rPr>
                <w:rFonts w:eastAsia="Times New Roman" w:cs="Times New Roman"/>
              </w:rPr>
              <w:t xml:space="preserve"> </w:t>
            </w:r>
            <w:r w:rsidR="003C13EE" w:rsidRPr="0019570D">
              <w:rPr>
                <w:rFonts w:eastAsia="Times New Roman" w:cs="Times New Roman"/>
                <w:color w:val="000000"/>
              </w:rPr>
              <w:t xml:space="preserve">for those surgical procedures </w:t>
            </w:r>
            <w:r w:rsidR="003943E8">
              <w:rPr>
                <w:rFonts w:eastAsia="Times New Roman" w:cs="Times New Roman"/>
                <w:color w:val="000000"/>
              </w:rPr>
              <w:t xml:space="preserve">in which its use is </w:t>
            </w:r>
            <w:r w:rsidR="003C13EE" w:rsidRPr="0019570D">
              <w:rPr>
                <w:rFonts w:eastAsia="Times New Roman" w:cs="Times New Roman"/>
                <w:color w:val="000000"/>
              </w:rPr>
              <w:t>supported by evidence according to</w:t>
            </w:r>
            <w:r w:rsidR="00637722">
              <w:rPr>
                <w:rFonts w:eastAsia="Times New Roman" w:cs="Times New Roman"/>
                <w:color w:val="000000"/>
              </w:rPr>
              <w:t xml:space="preserve"> guidelines such as the </w:t>
            </w:r>
            <w:hyperlink r:id="rId13" w:history="1">
              <w:r w:rsidR="003C13EE" w:rsidRPr="0019570D">
                <w:rPr>
                  <w:rStyle w:val="Hyperlink"/>
                  <w:rFonts w:eastAsia="Times New Roman" w:cs="Times New Roman"/>
                </w:rPr>
                <w:t>CHEST Guidelines</w:t>
              </w:r>
            </w:hyperlink>
            <w:r w:rsidR="00637722">
              <w:rPr>
                <w:rStyle w:val="Hyperlink"/>
                <w:rFonts w:eastAsia="Times New Roman" w:cs="Times New Roman"/>
              </w:rPr>
              <w:t xml:space="preserve"> o</w:t>
            </w:r>
            <w:r w:rsidR="00637722">
              <w:rPr>
                <w:rStyle w:val="Hyperlink"/>
              </w:rPr>
              <w:t xml:space="preserve">r the </w:t>
            </w:r>
            <w:hyperlink r:id="rId14" w:history="1">
              <w:r w:rsidR="00637722" w:rsidRPr="00637722">
                <w:rPr>
                  <w:rStyle w:val="Hyperlink"/>
                </w:rPr>
                <w:t>American Society of Hematology</w:t>
              </w:r>
            </w:hyperlink>
            <w:r w:rsidR="00637722" w:rsidRPr="00637722" w:rsidDel="00637722">
              <w:rPr>
                <w:rStyle w:val="Hyperlink"/>
              </w:rPr>
              <w:t xml:space="preserve"> </w:t>
            </w:r>
          </w:p>
          <w:p w14:paraId="2D8BD115" w14:textId="77777777" w:rsidR="003C13EE" w:rsidRPr="00637722" w:rsidRDefault="003C13EE" w:rsidP="00637722">
            <w:pPr>
              <w:pStyle w:val="ListParagraph"/>
              <w:ind w:left="1096"/>
              <w:rPr>
                <w:rStyle w:val="Hyperlink"/>
              </w:rPr>
            </w:pPr>
            <w:r w:rsidRPr="00637722">
              <w:rPr>
                <w:rStyle w:val="Hyperlink"/>
              </w:rPr>
              <w:t>Examples include:</w:t>
            </w:r>
          </w:p>
          <w:p w14:paraId="67E0EB1E" w14:textId="77777777" w:rsidR="003C13EE" w:rsidRPr="00637722" w:rsidRDefault="003C13EE" w:rsidP="00637722">
            <w:pPr>
              <w:pStyle w:val="ListParagraph"/>
              <w:numPr>
                <w:ilvl w:val="0"/>
                <w:numId w:val="53"/>
              </w:numPr>
              <w:ind w:left="1456"/>
              <w:rPr>
                <w:rStyle w:val="Hyperlink"/>
              </w:rPr>
            </w:pPr>
            <w:r w:rsidRPr="00637722">
              <w:rPr>
                <w:rStyle w:val="Hyperlink"/>
              </w:rPr>
              <w:t xml:space="preserve">Heparin </w:t>
            </w:r>
          </w:p>
          <w:p w14:paraId="3AA8CB98" w14:textId="77777777" w:rsidR="003C13EE" w:rsidRPr="0019570D" w:rsidRDefault="003C13EE" w:rsidP="00890EAD">
            <w:pPr>
              <w:pStyle w:val="ListParagraph"/>
              <w:numPr>
                <w:ilvl w:val="0"/>
                <w:numId w:val="53"/>
              </w:numPr>
              <w:spacing w:after="120" w:line="240" w:lineRule="auto"/>
              <w:ind w:left="1456"/>
              <w:rPr>
                <w:rFonts w:eastAsia="Times New Roman" w:cs="Times New Roman"/>
                <w:color w:val="000000"/>
              </w:rPr>
            </w:pPr>
            <w:r w:rsidRPr="00637722">
              <w:rPr>
                <w:rStyle w:val="Hyperlink"/>
              </w:rPr>
              <w:t>L</w:t>
            </w:r>
            <w:r w:rsidRPr="0019570D">
              <w:rPr>
                <w:rFonts w:eastAsia="Times New Roman" w:cs="Times New Roman"/>
                <w:color w:val="000000"/>
              </w:rPr>
              <w:t>ow molecular weight heparin</w:t>
            </w:r>
          </w:p>
          <w:p w14:paraId="61D9F64B" w14:textId="3326283B" w:rsidR="00DB0BB5" w:rsidRPr="0019570D" w:rsidRDefault="00D17D09" w:rsidP="00AE595D">
            <w:pPr>
              <w:spacing w:after="120" w:line="240" w:lineRule="auto"/>
              <w:rPr>
                <w:rFonts w:eastAsia="Times New Roman" w:cs="Times New Roman"/>
                <w:i/>
                <w:color w:val="000000"/>
                <w:u w:val="single"/>
              </w:rPr>
            </w:pPr>
            <w:r w:rsidRPr="0019570D">
              <w:rPr>
                <w:rFonts w:eastAsia="Times New Roman" w:cs="Times New Roman"/>
                <w:color w:val="000000"/>
              </w:rPr>
              <w:t>Note: VTE</w:t>
            </w:r>
            <w:r w:rsidR="003023A5">
              <w:rPr>
                <w:rFonts w:eastAsia="Times New Roman" w:cs="Times New Roman"/>
                <w:color w:val="000000"/>
              </w:rPr>
              <w:t xml:space="preserve"> prophylaxis</w:t>
            </w:r>
            <w:r w:rsidRPr="0019570D">
              <w:rPr>
                <w:rFonts w:eastAsia="Times New Roman" w:cs="Times New Roman"/>
                <w:color w:val="000000"/>
              </w:rPr>
              <w:t xml:space="preserve"> should not be administered to patients with high bleeding risk</w:t>
            </w:r>
          </w:p>
          <w:p w14:paraId="01CA802E" w14:textId="4DFA8786" w:rsidR="003C13EE" w:rsidRPr="0019570D" w:rsidRDefault="00B00577" w:rsidP="00AE595D">
            <w:pPr>
              <w:spacing w:after="120" w:line="240" w:lineRule="auto"/>
              <w:rPr>
                <w:rFonts w:eastAsia="Times New Roman" w:cs="Times New Roman"/>
                <w:i/>
                <w:color w:val="000000"/>
                <w:u w:val="single"/>
              </w:rPr>
            </w:pPr>
            <w:r>
              <w:rPr>
                <w:rFonts w:eastAsia="Times New Roman" w:cs="Times New Roman"/>
                <w:i/>
                <w:color w:val="000000"/>
                <w:u w:val="single"/>
              </w:rPr>
              <w:t>Hip and Knee</w:t>
            </w:r>
            <w:r w:rsidR="003C13EE" w:rsidRPr="0019570D">
              <w:rPr>
                <w:rFonts w:eastAsia="Times New Roman" w:cs="Times New Roman"/>
                <w:i/>
                <w:color w:val="000000"/>
                <w:u w:val="single"/>
              </w:rPr>
              <w:t xml:space="preserve"> Replacement and Hip Fracture </w:t>
            </w:r>
            <w:r w:rsidR="00244773">
              <w:rPr>
                <w:rFonts w:eastAsia="Times New Roman" w:cs="Times New Roman"/>
                <w:i/>
                <w:color w:val="000000"/>
                <w:u w:val="single"/>
              </w:rPr>
              <w:t xml:space="preserve">Surgery </w:t>
            </w:r>
            <w:r w:rsidR="003C13EE" w:rsidRPr="0019570D">
              <w:rPr>
                <w:rFonts w:eastAsia="Times New Roman" w:cs="Times New Roman"/>
                <w:i/>
                <w:color w:val="000000"/>
                <w:u w:val="single"/>
              </w:rPr>
              <w:t xml:space="preserve">Considerations: </w:t>
            </w:r>
          </w:p>
          <w:p w14:paraId="50A40B86" w14:textId="3AF7ED56" w:rsidR="003C13EE" w:rsidRPr="0019570D" w:rsidRDefault="003C13EE" w:rsidP="00AE595D">
            <w:pPr>
              <w:spacing w:after="120" w:line="240" w:lineRule="auto"/>
              <w:rPr>
                <w:rFonts w:eastAsia="Times New Roman" w:cs="Times New Roman"/>
                <w:color w:val="000000"/>
              </w:rPr>
            </w:pPr>
            <w:r w:rsidRPr="0019570D">
              <w:rPr>
                <w:rFonts w:eastAsia="Times New Roman" w:cs="Times New Roman"/>
                <w:color w:val="000000"/>
              </w:rPr>
              <w:t xml:space="preserve">While </w:t>
            </w:r>
            <w:r w:rsidR="00E409F1">
              <w:rPr>
                <w:rFonts w:eastAsia="Times New Roman" w:cs="Times New Roman"/>
                <w:color w:val="000000"/>
              </w:rPr>
              <w:t>chemo</w:t>
            </w:r>
            <w:r w:rsidRPr="0019570D">
              <w:rPr>
                <w:rFonts w:eastAsia="Times New Roman" w:cs="Times New Roman"/>
                <w:color w:val="000000"/>
              </w:rPr>
              <w:t xml:space="preserve">prophylaxis is recommended for all patients undergoing </w:t>
            </w:r>
            <w:r w:rsidR="00A0215B">
              <w:rPr>
                <w:rFonts w:eastAsia="Times New Roman" w:cs="Times New Roman"/>
                <w:color w:val="000000"/>
              </w:rPr>
              <w:t>hip fracture surgery and  hip/knee</w:t>
            </w:r>
            <w:r w:rsidRPr="0019570D">
              <w:rPr>
                <w:rFonts w:eastAsia="Times New Roman" w:cs="Times New Roman"/>
                <w:color w:val="000000"/>
              </w:rPr>
              <w:t xml:space="preserve"> replacement</w:t>
            </w:r>
            <w:r w:rsidR="00A0215B">
              <w:rPr>
                <w:rFonts w:eastAsia="Times New Roman" w:cs="Times New Roman"/>
                <w:color w:val="000000"/>
              </w:rPr>
              <w:t xml:space="preserve"> surgery</w:t>
            </w:r>
            <w:r w:rsidRPr="0019570D">
              <w:rPr>
                <w:rFonts w:eastAsia="Times New Roman" w:cs="Times New Roman"/>
                <w:color w:val="000000"/>
              </w:rPr>
              <w:t>, there is no convincing evidence favoring preoperative or postoperative initiation. There is evidence that immediate perioperative administration (within 2</w:t>
            </w:r>
            <w:r w:rsidR="00FC6D8E">
              <w:rPr>
                <w:rFonts w:eastAsia="Times New Roman" w:cstheme="minorHAnsi"/>
                <w:color w:val="000000"/>
              </w:rPr>
              <w:t>–</w:t>
            </w:r>
            <w:r w:rsidRPr="0019570D">
              <w:rPr>
                <w:rFonts w:eastAsia="Times New Roman" w:cs="Times New Roman"/>
                <w:color w:val="000000"/>
              </w:rPr>
              <w:t xml:space="preserve">4 hours before or after surgery) may increase </w:t>
            </w:r>
            <w:r w:rsidR="00EA6780">
              <w:rPr>
                <w:rFonts w:eastAsia="Times New Roman" w:cs="Times New Roman"/>
                <w:color w:val="000000"/>
              </w:rPr>
              <w:t xml:space="preserve">the risk of </w:t>
            </w:r>
            <w:r w:rsidRPr="0019570D">
              <w:rPr>
                <w:rFonts w:eastAsia="Times New Roman" w:cs="Times New Roman"/>
                <w:color w:val="000000"/>
              </w:rPr>
              <w:t xml:space="preserve">bleeding </w:t>
            </w:r>
            <w:r w:rsidR="00EA6780">
              <w:rPr>
                <w:rFonts w:eastAsia="Times New Roman" w:cs="Times New Roman"/>
                <w:color w:val="000000"/>
              </w:rPr>
              <w:t xml:space="preserve">in excess of </w:t>
            </w:r>
            <w:r w:rsidRPr="0019570D">
              <w:rPr>
                <w:rFonts w:eastAsia="Times New Roman" w:cs="Times New Roman"/>
                <w:color w:val="000000"/>
              </w:rPr>
              <w:t xml:space="preserve">the </w:t>
            </w:r>
            <w:r w:rsidR="00AB1273">
              <w:rPr>
                <w:rFonts w:eastAsia="Times New Roman" w:cs="Times New Roman"/>
                <w:color w:val="000000"/>
              </w:rPr>
              <w:t xml:space="preserve">potential </w:t>
            </w:r>
            <w:r w:rsidRPr="0019570D">
              <w:rPr>
                <w:rFonts w:eastAsia="Times New Roman" w:cs="Times New Roman"/>
                <w:color w:val="000000"/>
              </w:rPr>
              <w:t xml:space="preserve">VTE risk reduction. </w:t>
            </w:r>
            <w:r w:rsidR="00B06225" w:rsidRPr="0019570D">
              <w:rPr>
                <w:rFonts w:eastAsia="Times New Roman" w:cs="Times New Roman"/>
                <w:vertAlign w:val="superscript"/>
              </w:rPr>
              <w:t>2</w:t>
            </w:r>
          </w:p>
        </w:tc>
        <w:tc>
          <w:tcPr>
            <w:tcW w:w="822" w:type="pct"/>
          </w:tcPr>
          <w:p w14:paraId="405AF0F8" w14:textId="09FFF67B" w:rsidR="00D17D09" w:rsidRPr="0019570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FC6D8E">
              <w:rPr>
                <w:rFonts w:eastAsia="Times New Roman" w:cs="Times New Roman"/>
                <w:i/>
                <w:color w:val="000000"/>
              </w:rPr>
              <w:t xml:space="preserve">team decisions/notes </w:t>
            </w:r>
            <w:r w:rsidRPr="007C7841">
              <w:rPr>
                <w:rFonts w:eastAsia="Times New Roman" w:cs="Times New Roman"/>
                <w:i/>
                <w:color w:val="000000"/>
              </w:rPr>
              <w:t>here</w:t>
            </w:r>
          </w:p>
        </w:tc>
        <w:tc>
          <w:tcPr>
            <w:tcW w:w="842" w:type="pct"/>
          </w:tcPr>
          <w:p w14:paraId="7BDB2A0A" w14:textId="60AFBAB8" w:rsidR="008F4F73" w:rsidRPr="0019570D" w:rsidRDefault="003023A5" w:rsidP="00AE595D">
            <w:pPr>
              <w:spacing w:after="120" w:line="240" w:lineRule="auto"/>
              <w:rPr>
                <w:rFonts w:eastAsia="Times New Roman" w:cs="Times New Roman"/>
                <w:color w:val="000000"/>
              </w:rPr>
            </w:pPr>
            <w:r>
              <w:rPr>
                <w:rFonts w:eastAsia="Times New Roman" w:cs="Times New Roman"/>
                <w:b/>
                <w:color w:val="000000"/>
              </w:rPr>
              <w:t>Tip</w:t>
            </w:r>
            <w:r w:rsidR="008F4F73" w:rsidRPr="0019570D">
              <w:rPr>
                <w:rFonts w:eastAsia="Times New Roman" w:cs="Times New Roman"/>
                <w:b/>
                <w:color w:val="000000"/>
              </w:rPr>
              <w:t xml:space="preserve">: </w:t>
            </w:r>
            <w:r w:rsidR="008F4F73" w:rsidRPr="0019570D">
              <w:rPr>
                <w:rFonts w:eastAsia="Times New Roman" w:cs="Times New Roman"/>
                <w:color w:val="000000"/>
              </w:rPr>
              <w:t>Place reminders for patient risk assessment in the admission order sets</w:t>
            </w:r>
            <w:r w:rsidR="00CE05A4" w:rsidRPr="0019570D">
              <w:rPr>
                <w:rFonts w:eastAsia="Times New Roman" w:cs="Times New Roman"/>
                <w:color w:val="000000"/>
              </w:rPr>
              <w:t xml:space="preserve"> and </w:t>
            </w:r>
            <w:r w:rsidR="008F4F73" w:rsidRPr="0019570D">
              <w:rPr>
                <w:rFonts w:eastAsia="Times New Roman" w:cs="Times New Roman"/>
                <w:color w:val="000000"/>
              </w:rPr>
              <w:t xml:space="preserve">familiarize the care team with one of </w:t>
            </w:r>
            <w:hyperlink r:id="rId15" w:history="1">
              <w:r w:rsidR="008F4F73" w:rsidRPr="0019570D">
                <w:rPr>
                  <w:rStyle w:val="Hyperlink"/>
                  <w:rFonts w:eastAsia="Times New Roman" w:cs="Times New Roman"/>
                </w:rPr>
                <w:t>the risk assessment tools</w:t>
              </w:r>
            </w:hyperlink>
            <w:r w:rsidR="00DA7088">
              <w:rPr>
                <w:rStyle w:val="Hyperlink"/>
                <w:rFonts w:eastAsia="Times New Roman" w:cs="Times New Roman"/>
              </w:rPr>
              <w:t xml:space="preserve"> (e.g., </w:t>
            </w:r>
            <w:hyperlink r:id="rId16" w:history="1">
              <w:proofErr w:type="spellStart"/>
              <w:r w:rsidR="00DA7088" w:rsidRPr="009A09E0">
                <w:rPr>
                  <w:rStyle w:val="Hyperlink"/>
                  <w:rFonts w:eastAsia="Times New Roman" w:cs="Times New Roman"/>
                </w:rPr>
                <w:t>Caprini</w:t>
              </w:r>
              <w:proofErr w:type="spellEnd"/>
            </w:hyperlink>
            <w:r w:rsidR="00DA7088">
              <w:rPr>
                <w:rStyle w:val="Hyperlink"/>
                <w:rFonts w:eastAsia="Times New Roman" w:cs="Times New Roman"/>
              </w:rPr>
              <w:t xml:space="preserve"> or Padua)</w:t>
            </w:r>
            <w:r w:rsidR="008A4CA8">
              <w:rPr>
                <w:rStyle w:val="Hyperlink"/>
                <w:rFonts w:eastAsia="Times New Roman" w:cs="Times New Roman"/>
              </w:rPr>
              <w:t>.</w:t>
            </w:r>
            <w:r w:rsidR="00AE7AB5" w:rsidRPr="0019570D">
              <w:rPr>
                <w:rFonts w:eastAsia="Times New Roman" w:cs="Times New Roman"/>
                <w:color w:val="000000"/>
                <w:vertAlign w:val="superscript"/>
              </w:rPr>
              <w:t>1</w:t>
            </w:r>
            <w:r w:rsidR="00DA7088">
              <w:rPr>
                <w:rFonts w:eastAsia="Times New Roman" w:cs="Times New Roman"/>
                <w:color w:val="000000"/>
                <w:vertAlign w:val="superscript"/>
              </w:rPr>
              <w:t xml:space="preserve"> </w:t>
            </w:r>
          </w:p>
          <w:p w14:paraId="21E8BA92" w14:textId="509B08B9" w:rsidR="00D17D09" w:rsidRPr="0019570D" w:rsidRDefault="003023A5" w:rsidP="00AE595D">
            <w:pPr>
              <w:spacing w:after="120" w:line="240" w:lineRule="auto"/>
              <w:rPr>
                <w:rFonts w:eastAsia="Times New Roman" w:cs="Times New Roman"/>
                <w:color w:val="000000"/>
              </w:rPr>
            </w:pPr>
            <w:r>
              <w:rPr>
                <w:rFonts w:eastAsia="Times New Roman" w:cs="Times New Roman"/>
                <w:b/>
                <w:color w:val="000000"/>
              </w:rPr>
              <w:t>Tip</w:t>
            </w:r>
            <w:r w:rsidR="00D17D09" w:rsidRPr="0019570D">
              <w:rPr>
                <w:rFonts w:eastAsia="Times New Roman" w:cs="Times New Roman"/>
                <w:color w:val="000000"/>
              </w:rPr>
              <w:t xml:space="preserve">: Include in preoperative order set. </w:t>
            </w:r>
          </w:p>
          <w:p w14:paraId="784A2D1B" w14:textId="5458DF12" w:rsidR="00D17D09" w:rsidRPr="0019570D" w:rsidRDefault="003023A5" w:rsidP="00AE595D">
            <w:pPr>
              <w:spacing w:after="120" w:line="240" w:lineRule="auto"/>
              <w:rPr>
                <w:rFonts w:eastAsia="Times New Roman" w:cs="Times New Roman"/>
                <w:color w:val="000000"/>
              </w:rPr>
            </w:pPr>
            <w:r>
              <w:rPr>
                <w:rFonts w:eastAsia="Times New Roman" w:cs="Times New Roman"/>
                <w:b/>
                <w:color w:val="000000"/>
              </w:rPr>
              <w:t>Tip</w:t>
            </w:r>
            <w:r w:rsidR="00D17D09" w:rsidRPr="0019570D">
              <w:rPr>
                <w:rFonts w:eastAsia="Times New Roman" w:cs="Times New Roman"/>
                <w:b/>
                <w:color w:val="000000"/>
              </w:rPr>
              <w:t xml:space="preserve">: </w:t>
            </w:r>
            <w:r w:rsidR="00D17D09" w:rsidRPr="0019570D">
              <w:rPr>
                <w:rFonts w:eastAsia="Times New Roman" w:cs="Times New Roman"/>
                <w:color w:val="000000"/>
              </w:rPr>
              <w:t xml:space="preserve">Coordinate with anesthesiology and/or acute pain services to facilitate timing of administration of </w:t>
            </w:r>
            <w:r w:rsidR="00E409F1">
              <w:rPr>
                <w:rFonts w:eastAsia="Times New Roman" w:cs="Times New Roman"/>
                <w:color w:val="000000"/>
              </w:rPr>
              <w:t>chemo</w:t>
            </w:r>
            <w:r w:rsidR="00D17D09" w:rsidRPr="0019570D">
              <w:rPr>
                <w:rFonts w:eastAsia="Times New Roman" w:cs="Times New Roman"/>
                <w:color w:val="000000"/>
              </w:rPr>
              <w:t xml:space="preserve">prophylaxis to allow for safe use of </w:t>
            </w:r>
            <w:proofErr w:type="spellStart"/>
            <w:r w:rsidR="00D17D09" w:rsidRPr="0019570D">
              <w:rPr>
                <w:rFonts w:eastAsia="Times New Roman" w:cs="Times New Roman"/>
                <w:color w:val="000000"/>
              </w:rPr>
              <w:t>neuroaxial</w:t>
            </w:r>
            <w:proofErr w:type="spellEnd"/>
            <w:r w:rsidR="00D17D09" w:rsidRPr="0019570D">
              <w:rPr>
                <w:rFonts w:eastAsia="Times New Roman" w:cs="Times New Roman"/>
                <w:color w:val="000000"/>
              </w:rPr>
              <w:t xml:space="preserve"> blocks</w:t>
            </w:r>
            <w:r w:rsidR="008A4CA8">
              <w:rPr>
                <w:rFonts w:eastAsia="Times New Roman" w:cs="Times New Roman"/>
                <w:color w:val="000000"/>
              </w:rPr>
              <w:t>.</w:t>
            </w:r>
          </w:p>
        </w:tc>
        <w:tc>
          <w:tcPr>
            <w:tcW w:w="756" w:type="pct"/>
          </w:tcPr>
          <w:p w14:paraId="50B15C3E" w14:textId="7072A5C7" w:rsidR="00D17D09" w:rsidRPr="008B72B3" w:rsidRDefault="00D17D09" w:rsidP="009B185A">
            <w:pPr>
              <w:spacing w:after="120" w:line="240" w:lineRule="auto"/>
              <w:ind w:left="78" w:firstLine="9"/>
              <w:rPr>
                <w:rFonts w:eastAsia="Times New Roman" w:cs="Times New Roman"/>
                <w:bCs/>
                <w:color w:val="000000"/>
              </w:rPr>
            </w:pPr>
            <w:r w:rsidRPr="008B72B3">
              <w:rPr>
                <w:rFonts w:eastAsia="Times New Roman" w:cs="Times New Roman"/>
                <w:bCs/>
                <w:color w:val="000000"/>
              </w:rPr>
              <w:t xml:space="preserve">Preoperative VTE </w:t>
            </w:r>
            <w:r w:rsidR="005616F4" w:rsidRPr="008B72B3">
              <w:rPr>
                <w:rFonts w:eastAsia="Times New Roman" w:cs="Times New Roman"/>
                <w:bCs/>
                <w:color w:val="000000"/>
              </w:rPr>
              <w:t xml:space="preserve">prophylaxis </w:t>
            </w:r>
          </w:p>
          <w:p w14:paraId="3F2CA50B" w14:textId="77777777" w:rsidR="00D17D09" w:rsidRPr="00AE595D" w:rsidRDefault="00D17D09" w:rsidP="00AE595D">
            <w:pPr>
              <w:spacing w:after="120" w:line="240" w:lineRule="auto"/>
              <w:ind w:left="534" w:firstLine="9"/>
              <w:rPr>
                <w:rFonts w:eastAsia="Times New Roman" w:cs="Times New Roman"/>
                <w:b/>
                <w:bCs/>
                <w:color w:val="000000"/>
              </w:rPr>
            </w:pPr>
          </w:p>
        </w:tc>
      </w:tr>
    </w:tbl>
    <w:p w14:paraId="71F93870" w14:textId="00F7173A" w:rsidR="00FC6D8E" w:rsidRDefault="00FC6D8E" w:rsidP="004D6710">
      <w:pPr>
        <w:spacing w:after="120" w:line="240" w:lineRule="auto"/>
        <w:ind w:left="180" w:hanging="180"/>
      </w:pPr>
      <w:r w:rsidRPr="00AE595D">
        <w:t>Abbreviations:</w:t>
      </w:r>
      <w:r>
        <w:t xml:space="preserve"> ISCR = Improving Surgical Care and Recovery</w:t>
      </w:r>
    </w:p>
    <w:p w14:paraId="49C22D61" w14:textId="50106E79" w:rsidR="00F2014F" w:rsidRPr="0019570D" w:rsidRDefault="00AE7AB5" w:rsidP="004D6710">
      <w:pPr>
        <w:spacing w:after="120" w:line="240" w:lineRule="auto"/>
        <w:ind w:left="180" w:hanging="180"/>
      </w:pPr>
      <w:r w:rsidRPr="0019570D">
        <w:t>1</w:t>
      </w:r>
      <w:r w:rsidR="003C13EE" w:rsidRPr="0019570D">
        <w:t xml:space="preserve"> </w:t>
      </w:r>
      <w:r w:rsidR="00FC6D8E">
        <w:t xml:space="preserve">Maynard G. </w:t>
      </w:r>
      <w:r w:rsidRPr="0019570D">
        <w:t>Choose the Model To Assess VTE and Bleeding Risk.</w:t>
      </w:r>
      <w:r w:rsidR="00FC726A">
        <w:t xml:space="preserve"> </w:t>
      </w:r>
      <w:r w:rsidR="004A5E6C">
        <w:t xml:space="preserve">In: </w:t>
      </w:r>
      <w:r w:rsidRPr="0019570D">
        <w:t xml:space="preserve"> </w:t>
      </w:r>
      <w:r w:rsidR="00FC6D8E">
        <w:t>Preventing Hospital-Associated Venous Thromboembolism: A Guide for Effective Quality Improvement, 2</w:t>
      </w:r>
      <w:r w:rsidR="00FC6D8E" w:rsidRPr="009C7C23">
        <w:rPr>
          <w:vertAlign w:val="superscript"/>
        </w:rPr>
        <w:t>nd</w:t>
      </w:r>
      <w:r w:rsidR="00FC6D8E">
        <w:t xml:space="preserve"> ed. Rockville, MD: </w:t>
      </w:r>
      <w:r w:rsidRPr="0019570D">
        <w:t>Agency for Healthcare Research and Quality</w:t>
      </w:r>
      <w:r w:rsidR="00FC6D8E">
        <w:t>; August 2016</w:t>
      </w:r>
      <w:r w:rsidR="004A5E6C">
        <w:t>: chapter 4</w:t>
      </w:r>
      <w:r w:rsidR="00FC6D8E">
        <w:t xml:space="preserve">.  </w:t>
      </w:r>
      <w:r w:rsidR="00FC6D8E" w:rsidRPr="00FC6D8E">
        <w:t>https://www.ahrq.gov/patient-safety/settings/hospital/vtguide/index.html</w:t>
      </w:r>
    </w:p>
    <w:p w14:paraId="3953C778" w14:textId="3B9F8D6C" w:rsidR="00B06225" w:rsidRPr="00AE595D" w:rsidRDefault="00B06225" w:rsidP="004D6710">
      <w:pPr>
        <w:spacing w:after="120" w:line="240" w:lineRule="auto"/>
        <w:ind w:left="180" w:hanging="180"/>
      </w:pPr>
      <w:r w:rsidRPr="0019570D">
        <w:t xml:space="preserve">2 Childers CP, Siletz AE, Singer ES, </w:t>
      </w:r>
      <w:r w:rsidR="00B00577">
        <w:t>et al</w:t>
      </w:r>
      <w:r w:rsidRPr="0019570D">
        <w:t xml:space="preserve">. Surgical Technical Evidence Review for Elective Total Joint Replacement Conducted for the AHRQ Safety Program for Improving Surgical Care and Recovery. </w:t>
      </w:r>
      <w:proofErr w:type="spellStart"/>
      <w:r w:rsidRPr="0019570D">
        <w:t>Geriatr</w:t>
      </w:r>
      <w:proofErr w:type="spellEnd"/>
      <w:r w:rsidRPr="0019570D">
        <w:t xml:space="preserve"> </w:t>
      </w:r>
      <w:proofErr w:type="spellStart"/>
      <w:r w:rsidRPr="0019570D">
        <w:t>Orthop</w:t>
      </w:r>
      <w:proofErr w:type="spellEnd"/>
      <w:r w:rsidRPr="0019570D">
        <w:t xml:space="preserve"> Surg </w:t>
      </w:r>
      <w:proofErr w:type="spellStart"/>
      <w:r w:rsidRPr="0019570D">
        <w:t>Rehabil</w:t>
      </w:r>
      <w:proofErr w:type="spellEnd"/>
      <w:r w:rsidRPr="0019570D">
        <w:t xml:space="preserve">. 2018 Feb 12;9:2151458518754451. </w:t>
      </w:r>
      <w:proofErr w:type="spellStart"/>
      <w:r w:rsidRPr="0019570D">
        <w:t>doi</w:t>
      </w:r>
      <w:proofErr w:type="spellEnd"/>
      <w:r w:rsidRPr="0019570D">
        <w:t>: 10.1177/2151458518754451</w:t>
      </w:r>
      <w:r w:rsidRPr="00B06225">
        <w:t>. PMID: 29468091; PMCID: PMC5813847. https://doi.org/10.1177%2F2151458518754451</w:t>
      </w:r>
      <w:r w:rsidR="00FC6D8E">
        <w:t>.</w:t>
      </w:r>
    </w:p>
    <w:p w14:paraId="5E180947" w14:textId="77777777" w:rsidR="00D17D09" w:rsidRPr="00AE595D" w:rsidRDefault="00D17D09" w:rsidP="00AE595D">
      <w:pPr>
        <w:spacing w:after="120" w:line="240" w:lineRule="auto"/>
        <w:rPr>
          <w:b/>
        </w:rPr>
      </w:pPr>
      <w:r w:rsidRPr="00AE595D">
        <w:rPr>
          <w:b/>
        </w:rPr>
        <w:br w:type="page"/>
      </w:r>
    </w:p>
    <w:p w14:paraId="5B28DBF5" w14:textId="77777777" w:rsidR="00873CFE" w:rsidRDefault="00873CFE">
      <w:pPr>
        <w:pStyle w:val="Heading2"/>
      </w:pPr>
      <w:bookmarkStart w:id="7" w:name="_Toc117000793"/>
      <w:r w:rsidRPr="00AE595D">
        <w:lastRenderedPageBreak/>
        <w:t>Preoperative</w:t>
      </w:r>
      <w:r w:rsidR="000A5AE2">
        <w:t xml:space="preserve"> </w:t>
      </w:r>
      <w:r w:rsidR="000A5AE2" w:rsidRPr="00AE595D">
        <w:t>Bowel Preparation</w:t>
      </w:r>
      <w:bookmarkEnd w:id="7"/>
    </w:p>
    <w:p w14:paraId="498B26D0" w14:textId="216AF1A6" w:rsidR="00D21E65" w:rsidRPr="00D21E65" w:rsidRDefault="00D21E65" w:rsidP="00D21E65">
      <w:pPr>
        <w:pStyle w:val="BodyText1"/>
      </w:pPr>
      <w:r w:rsidRPr="00D21E65">
        <w:t xml:space="preserve">Patients undergoing elective colorectal surgery </w:t>
      </w:r>
      <w:r w:rsidR="00EA6780">
        <w:t xml:space="preserve">or other relevant procedures </w:t>
      </w:r>
      <w:r w:rsidRPr="00D21E65">
        <w:t>should undergo combined mechanical bowel preparation with oral antibiotics and be allowed to drink nonalcoholic, noncaffeinated liquids freely up to 2 hours prior to induction to avoid dehydration.</w:t>
      </w:r>
    </w:p>
    <w:p w14:paraId="7A5CC71C" w14:textId="77777777" w:rsidR="00D21E65" w:rsidRPr="00AE595D" w:rsidRDefault="00D21E65" w:rsidP="00D21E65">
      <w:pPr>
        <w:pStyle w:val="Bullet1"/>
      </w:pPr>
      <w:r w:rsidRPr="00D21E65">
        <w:rPr>
          <w:i/>
        </w:rPr>
        <w:t xml:space="preserve">Considerations for </w:t>
      </w:r>
      <w:r>
        <w:rPr>
          <w:i/>
        </w:rPr>
        <w:t>gynecologic surgery</w:t>
      </w:r>
      <w:r w:rsidRPr="00D21E65">
        <w:rPr>
          <w:i/>
        </w:rPr>
        <w:t xml:space="preserve"> procedures:</w:t>
      </w:r>
      <w:r w:rsidRPr="00D21E65">
        <w:t xml:space="preserve"> Patients undergoing straightforward gynecologic surgery should not receive a bowel preparation. For complex procedures where a colon resection might be done in conjunction with the gynecologic procedure, a mechanical bowel preparation plus oral antibiotics is recommended.</w:t>
      </w:r>
    </w:p>
    <w:tbl>
      <w:tblPr>
        <w:tblStyle w:val="GridTable1Light1"/>
        <w:tblW w:w="5002" w:type="pct"/>
        <w:tblLook w:val="0600" w:firstRow="0" w:lastRow="0" w:firstColumn="0" w:lastColumn="0" w:noHBand="1" w:noVBand="1"/>
      </w:tblPr>
      <w:tblGrid>
        <w:gridCol w:w="1678"/>
        <w:gridCol w:w="1305"/>
        <w:gridCol w:w="8267"/>
        <w:gridCol w:w="2803"/>
        <w:gridCol w:w="6134"/>
        <w:gridCol w:w="2852"/>
      </w:tblGrid>
      <w:tr w:rsidR="00873CFE" w:rsidRPr="00D21E65" w14:paraId="635D8BAB" w14:textId="77777777" w:rsidTr="00FC6D8E">
        <w:trPr>
          <w:cantSplit/>
          <w:trHeight w:val="973"/>
          <w:tblHeader/>
        </w:trPr>
        <w:tc>
          <w:tcPr>
            <w:tcW w:w="364" w:type="pct"/>
            <w:hideMark/>
          </w:tcPr>
          <w:p w14:paraId="544F7D4C" w14:textId="58E76003" w:rsidR="00873CFE" w:rsidRPr="00D21E65" w:rsidRDefault="00873CFE" w:rsidP="00D21E65">
            <w:pPr>
              <w:pStyle w:val="TableParagraph"/>
              <w:rPr>
                <w:rStyle w:val="Strong"/>
              </w:rPr>
            </w:pPr>
            <w:r w:rsidRPr="00D21E65">
              <w:rPr>
                <w:rStyle w:val="Strong"/>
              </w:rPr>
              <w:t xml:space="preserve">Pathway </w:t>
            </w:r>
          </w:p>
        </w:tc>
        <w:tc>
          <w:tcPr>
            <w:tcW w:w="283" w:type="pct"/>
            <w:hideMark/>
          </w:tcPr>
          <w:p w14:paraId="0886BDD4" w14:textId="77777777" w:rsidR="00873CFE" w:rsidRPr="00D21E65" w:rsidRDefault="00873CFE" w:rsidP="00D21E65">
            <w:pPr>
              <w:pStyle w:val="TableParagraph"/>
              <w:rPr>
                <w:rStyle w:val="Strong"/>
              </w:rPr>
            </w:pPr>
            <w:r w:rsidRPr="00D21E65">
              <w:rPr>
                <w:rStyle w:val="Strong"/>
              </w:rPr>
              <w:t>Component</w:t>
            </w:r>
          </w:p>
        </w:tc>
        <w:tc>
          <w:tcPr>
            <w:tcW w:w="1794" w:type="pct"/>
            <w:hideMark/>
          </w:tcPr>
          <w:p w14:paraId="342D331A" w14:textId="1EC5310B" w:rsidR="009B185A" w:rsidRDefault="00873CFE" w:rsidP="00D21E65">
            <w:pPr>
              <w:pStyle w:val="TableParagraph"/>
              <w:rPr>
                <w:rStyle w:val="Strong"/>
              </w:rPr>
            </w:pPr>
            <w:r w:rsidRPr="00D21E65">
              <w:rPr>
                <w:rStyle w:val="Strong"/>
              </w:rPr>
              <w:t xml:space="preserve">Example Processes </w:t>
            </w:r>
            <w:r w:rsidR="00FC6D8E">
              <w:rPr>
                <w:rStyle w:val="Strong"/>
              </w:rPr>
              <w:t>T</w:t>
            </w:r>
            <w:r w:rsidRPr="00D21E65">
              <w:rPr>
                <w:rStyle w:val="Strong"/>
              </w:rPr>
              <w:t>o Consider</w:t>
            </w:r>
          </w:p>
          <w:p w14:paraId="450E320E" w14:textId="77777777" w:rsidR="00873CFE" w:rsidRPr="009B185A" w:rsidRDefault="00873CFE" w:rsidP="00D21E65">
            <w:pPr>
              <w:pStyle w:val="TableParagraph"/>
              <w:rPr>
                <w:rStyle w:val="Strong"/>
                <w:b w:val="0"/>
                <w:i/>
              </w:rPr>
            </w:pPr>
            <w:r w:rsidRPr="009B185A">
              <w:rPr>
                <w:rStyle w:val="Strong"/>
                <w:b w:val="0"/>
                <w:i/>
              </w:rPr>
              <w:t>As a team, go through each component and discuss what approach best fits your hospital. It may be an option other than what is listed below.</w:t>
            </w:r>
          </w:p>
        </w:tc>
        <w:tc>
          <w:tcPr>
            <w:tcW w:w="608" w:type="pct"/>
            <w:hideMark/>
          </w:tcPr>
          <w:p w14:paraId="4CA3131C" w14:textId="77777777" w:rsidR="00873CFE" w:rsidRPr="00D21E65" w:rsidRDefault="00873CFE" w:rsidP="00D21E65">
            <w:pPr>
              <w:pStyle w:val="TableParagraph"/>
              <w:rPr>
                <w:rStyle w:val="Strong"/>
              </w:rPr>
            </w:pPr>
            <w:r w:rsidRPr="00D21E65">
              <w:rPr>
                <w:rStyle w:val="Strong"/>
              </w:rPr>
              <w:t>Team Decisions/Notes</w:t>
            </w:r>
          </w:p>
          <w:p w14:paraId="2720F2B7" w14:textId="77777777" w:rsidR="00873CFE" w:rsidRPr="009B185A" w:rsidRDefault="00873CFE" w:rsidP="00D21E65">
            <w:pPr>
              <w:pStyle w:val="TableParagraph"/>
              <w:rPr>
                <w:rStyle w:val="Strong"/>
                <w:b w:val="0"/>
                <w:i/>
              </w:rPr>
            </w:pPr>
            <w:r w:rsidRPr="009B185A">
              <w:rPr>
                <w:rStyle w:val="Strong"/>
                <w:b w:val="0"/>
                <w:i/>
              </w:rPr>
              <w:t>As a team, note exceptions and contraindications to the treatment or medications.</w:t>
            </w:r>
          </w:p>
        </w:tc>
        <w:tc>
          <w:tcPr>
            <w:tcW w:w="1331" w:type="pct"/>
            <w:hideMark/>
          </w:tcPr>
          <w:p w14:paraId="360C0C48" w14:textId="5EB6B42D" w:rsidR="00873CFE" w:rsidRPr="00D21E65" w:rsidRDefault="00AA140E" w:rsidP="00D21E65">
            <w:pPr>
              <w:pStyle w:val="TableParagraph"/>
              <w:rPr>
                <w:rStyle w:val="Strong"/>
              </w:rPr>
            </w:pPr>
            <w:r>
              <w:rPr>
                <w:rStyle w:val="Strong"/>
              </w:rPr>
              <w:t xml:space="preserve">Other Available Resources </w:t>
            </w:r>
            <w:r w:rsidR="00FC6D8E">
              <w:rPr>
                <w:rStyle w:val="Strong"/>
              </w:rPr>
              <w:t>and</w:t>
            </w:r>
            <w:r>
              <w:rPr>
                <w:rStyle w:val="Strong"/>
              </w:rPr>
              <w:t xml:space="preserve"> Tips </w:t>
            </w:r>
            <w:r w:rsidR="00FC6D8E">
              <w:rPr>
                <w:rStyle w:val="Strong"/>
              </w:rPr>
              <w:t>T</w:t>
            </w:r>
            <w:r>
              <w:rPr>
                <w:rStyle w:val="Strong"/>
              </w:rPr>
              <w:t>o Consider</w:t>
            </w:r>
          </w:p>
        </w:tc>
        <w:tc>
          <w:tcPr>
            <w:tcW w:w="619" w:type="pct"/>
            <w:hideMark/>
          </w:tcPr>
          <w:p w14:paraId="073FE9AC" w14:textId="77777777" w:rsidR="00745B3F" w:rsidRDefault="00D63FC9" w:rsidP="00D21E65">
            <w:pPr>
              <w:pStyle w:val="TableParagraph"/>
              <w:rPr>
                <w:rStyle w:val="Strong"/>
              </w:rPr>
            </w:pPr>
            <w:r w:rsidRPr="00D63FC9">
              <w:rPr>
                <w:rStyle w:val="Strong"/>
              </w:rPr>
              <w:t>ISCR Measures</w:t>
            </w:r>
          </w:p>
          <w:p w14:paraId="39F411D9" w14:textId="77777777" w:rsidR="00873CFE" w:rsidRPr="00D21E65" w:rsidRDefault="00745B3F" w:rsidP="00D21E65">
            <w:pPr>
              <w:pStyle w:val="TableParagraph"/>
              <w:rPr>
                <w:rStyle w:val="Strong"/>
              </w:rPr>
            </w:pPr>
            <w:r w:rsidRPr="009733EE">
              <w:rPr>
                <w:bCs/>
                <w:i/>
              </w:rPr>
              <w:t>As a team, decide on specific and standardized measures you can track at your hospital. It may be helpful to record your definitions here.</w:t>
            </w:r>
          </w:p>
        </w:tc>
      </w:tr>
      <w:tr w:rsidR="0060622C" w:rsidRPr="0019570D" w14:paraId="5A14A203" w14:textId="77777777" w:rsidTr="00FC6D8E">
        <w:trPr>
          <w:cantSplit/>
          <w:trHeight w:val="334"/>
        </w:trPr>
        <w:tc>
          <w:tcPr>
            <w:tcW w:w="364" w:type="pct"/>
            <w:hideMark/>
          </w:tcPr>
          <w:p w14:paraId="16C41729" w14:textId="222B1B82" w:rsidR="0060622C" w:rsidRPr="0019570D" w:rsidRDefault="008F4F73" w:rsidP="00D21E65">
            <w:pPr>
              <w:pStyle w:val="TableParagraph"/>
              <w:rPr>
                <w:b/>
              </w:rPr>
            </w:pPr>
            <w:r w:rsidRPr="0019570D">
              <w:rPr>
                <w:b/>
              </w:rPr>
              <w:t xml:space="preserve">All </w:t>
            </w:r>
            <w:r w:rsidR="004F6155" w:rsidRPr="0019570D">
              <w:rPr>
                <w:b/>
              </w:rPr>
              <w:t xml:space="preserve">ISCR </w:t>
            </w:r>
            <w:r w:rsidRPr="0019570D">
              <w:rPr>
                <w:b/>
              </w:rPr>
              <w:t xml:space="preserve">Pathways </w:t>
            </w:r>
            <w:r w:rsidR="00FC6D8E">
              <w:rPr>
                <w:b/>
              </w:rPr>
              <w:t>W</w:t>
            </w:r>
            <w:r w:rsidRPr="0019570D">
              <w:rPr>
                <w:b/>
              </w:rPr>
              <w:t>ith Planned Bowel Resection</w:t>
            </w:r>
          </w:p>
        </w:tc>
        <w:tc>
          <w:tcPr>
            <w:tcW w:w="283" w:type="pct"/>
          </w:tcPr>
          <w:p w14:paraId="7BB932EB" w14:textId="77777777" w:rsidR="0060622C" w:rsidRPr="0019570D" w:rsidRDefault="0060622C" w:rsidP="00D21E65">
            <w:pPr>
              <w:pStyle w:val="TableParagraph"/>
              <w:rPr>
                <w:b/>
              </w:rPr>
            </w:pPr>
            <w:r w:rsidRPr="0019570D">
              <w:rPr>
                <w:b/>
              </w:rPr>
              <w:t>Bowel Preparation</w:t>
            </w:r>
          </w:p>
        </w:tc>
        <w:tc>
          <w:tcPr>
            <w:tcW w:w="1794" w:type="pct"/>
          </w:tcPr>
          <w:p w14:paraId="0AE355F7" w14:textId="77777777" w:rsidR="0060622C" w:rsidRPr="0019570D" w:rsidRDefault="0060622C" w:rsidP="00D21E65">
            <w:pPr>
              <w:pStyle w:val="TableParagraph"/>
              <w:rPr>
                <w:rFonts w:eastAsia="Times New Roman" w:cs="Times New Roman"/>
                <w:b/>
              </w:rPr>
            </w:pPr>
            <w:r w:rsidRPr="0019570D">
              <w:rPr>
                <w:rFonts w:eastAsia="Times New Roman" w:cs="Times New Roman"/>
                <w:b/>
              </w:rPr>
              <w:t xml:space="preserve">Recommended approaches: </w:t>
            </w:r>
          </w:p>
          <w:p w14:paraId="4E658A1E" w14:textId="41D69FE8" w:rsidR="0060622C" w:rsidRPr="0019570D" w:rsidRDefault="0060622C" w:rsidP="00DA32AD">
            <w:pPr>
              <w:pStyle w:val="TableParagraph"/>
              <w:numPr>
                <w:ilvl w:val="0"/>
                <w:numId w:val="54"/>
              </w:numPr>
              <w:rPr>
                <w:rFonts w:eastAsia="Times New Roman" w:cs="Times New Roman"/>
              </w:rPr>
            </w:pPr>
            <w:r w:rsidRPr="0019570D">
              <w:rPr>
                <w:rFonts w:eastAsia="Times New Roman" w:cs="Times New Roman"/>
              </w:rPr>
              <w:t>Bowel prep with neomycin + metronidazole + polyethylene glycol</w:t>
            </w:r>
            <w:r w:rsidR="007B1EC4">
              <w:rPr>
                <w:rFonts w:eastAsia="Times New Roman" w:cs="Times New Roman"/>
              </w:rPr>
              <w:t xml:space="preserve"> </w:t>
            </w:r>
            <w:r w:rsidR="00BE51DD" w:rsidRPr="0018440D">
              <w:rPr>
                <w:rFonts w:eastAsia="Times New Roman" w:cs="Times New Roman"/>
              </w:rPr>
              <w:t>the day before operation</w:t>
            </w:r>
          </w:p>
          <w:p w14:paraId="2870933E" w14:textId="61C1544E" w:rsidR="00D21E65" w:rsidRPr="0019570D" w:rsidRDefault="0060622C" w:rsidP="009B185A">
            <w:pPr>
              <w:pStyle w:val="TableParagraph"/>
              <w:numPr>
                <w:ilvl w:val="0"/>
                <w:numId w:val="54"/>
              </w:numPr>
              <w:rPr>
                <w:rFonts w:eastAsia="Times New Roman" w:cs="Times New Roman"/>
                <w:color w:val="C00000"/>
                <w:u w:val="single"/>
              </w:rPr>
            </w:pPr>
            <w:r w:rsidRPr="0019570D">
              <w:rPr>
                <w:rFonts w:eastAsia="Times New Roman" w:cs="Times New Roman"/>
              </w:rPr>
              <w:t>Bowel prep with neomycin + erythromycin + polyethylene glycol</w:t>
            </w:r>
            <w:r w:rsidR="00BE51DD">
              <w:t xml:space="preserve"> </w:t>
            </w:r>
            <w:r w:rsidR="00BE51DD" w:rsidRPr="00BE51DD">
              <w:rPr>
                <w:rFonts w:eastAsia="Times New Roman" w:cs="Times New Roman"/>
              </w:rPr>
              <w:t>the day before operation</w:t>
            </w:r>
          </w:p>
        </w:tc>
        <w:tc>
          <w:tcPr>
            <w:tcW w:w="608" w:type="pct"/>
          </w:tcPr>
          <w:p w14:paraId="01CD6C0C" w14:textId="62C1BA26" w:rsidR="0060622C" w:rsidRPr="0019570D" w:rsidRDefault="00001AAC" w:rsidP="00D21E65">
            <w:pPr>
              <w:pStyle w:val="TableParagraph"/>
              <w:rPr>
                <w:rFonts w:eastAsia="Times New Roman" w:cs="Times New Roman"/>
                <w:color w:val="000000"/>
              </w:rPr>
            </w:pPr>
            <w:r w:rsidRPr="007C7841">
              <w:rPr>
                <w:rFonts w:eastAsia="Times New Roman" w:cs="Times New Roman"/>
                <w:i/>
                <w:color w:val="000000"/>
              </w:rPr>
              <w:t xml:space="preserve">Enter </w:t>
            </w:r>
            <w:r w:rsidR="00FC6D8E">
              <w:rPr>
                <w:rFonts w:eastAsia="Times New Roman" w:cs="Times New Roman"/>
                <w:i/>
                <w:color w:val="000000"/>
              </w:rPr>
              <w:t xml:space="preserve">team decisions/notes </w:t>
            </w:r>
            <w:r w:rsidRPr="007C7841">
              <w:rPr>
                <w:rFonts w:eastAsia="Times New Roman" w:cs="Times New Roman"/>
                <w:i/>
                <w:color w:val="000000"/>
              </w:rPr>
              <w:t>here</w:t>
            </w:r>
          </w:p>
        </w:tc>
        <w:tc>
          <w:tcPr>
            <w:tcW w:w="1331" w:type="pct"/>
          </w:tcPr>
          <w:p w14:paraId="3C84BB99" w14:textId="14349D5F" w:rsidR="0060622C" w:rsidRPr="0019570D" w:rsidRDefault="007D43FC" w:rsidP="00D21E65">
            <w:pPr>
              <w:pStyle w:val="TableParagraph"/>
              <w:rPr>
                <w:rFonts w:eastAsia="Times New Roman" w:cs="Times New Roman"/>
                <w:color w:val="000000"/>
              </w:rPr>
            </w:pPr>
            <w:r w:rsidRPr="0019570D">
              <w:rPr>
                <w:rFonts w:eastAsia="Times New Roman" w:cs="Times New Roman"/>
                <w:b/>
                <w:color w:val="000000"/>
              </w:rPr>
              <w:t>Resource:</w:t>
            </w:r>
            <w:r w:rsidRPr="0019570D">
              <w:rPr>
                <w:rFonts w:eastAsia="Times New Roman" w:cs="Times New Roman"/>
                <w:color w:val="000000"/>
              </w:rPr>
              <w:t xml:space="preserve"> </w:t>
            </w:r>
            <w:r w:rsidR="00B557E6" w:rsidRPr="0019570D">
              <w:rPr>
                <w:rFonts w:eastAsia="Times New Roman" w:cs="Times New Roman"/>
                <w:color w:val="000000"/>
              </w:rPr>
              <w:t>Healthcare Infection Control Practices Advisory Committee (HICPAC) Guidelines for Prevention of Surgical Site Infections</w:t>
            </w:r>
            <w:r w:rsidR="00FC6D8E">
              <w:rPr>
                <w:rFonts w:eastAsia="Times New Roman" w:cs="Times New Roman"/>
                <w:color w:val="000000"/>
              </w:rPr>
              <w:t xml:space="preserve">. </w:t>
            </w:r>
            <w:r w:rsidR="00AC38F9" w:rsidRPr="0019570D">
              <w:rPr>
                <w:rFonts w:eastAsia="Times New Roman" w:cs="Times New Roman"/>
                <w:color w:val="000000"/>
                <w:vertAlign w:val="superscript"/>
              </w:rPr>
              <w:t>1</w:t>
            </w:r>
            <w:r w:rsidR="00AC38F9" w:rsidRPr="0019570D">
              <w:rPr>
                <w:rFonts w:eastAsia="Times New Roman" w:cs="Times New Roman"/>
                <w:color w:val="000000"/>
              </w:rPr>
              <w:t xml:space="preserve"> </w:t>
            </w:r>
          </w:p>
        </w:tc>
        <w:tc>
          <w:tcPr>
            <w:tcW w:w="619" w:type="pct"/>
          </w:tcPr>
          <w:p w14:paraId="4B1DBEAA" w14:textId="5E5797B5" w:rsidR="0060622C" w:rsidRPr="0019570D" w:rsidRDefault="005616F4" w:rsidP="00D21E65">
            <w:pPr>
              <w:pStyle w:val="TableParagraph"/>
              <w:rPr>
                <w:rFonts w:eastAsia="Times New Roman" w:cs="Times New Roman"/>
                <w:color w:val="000000"/>
              </w:rPr>
            </w:pPr>
            <w:r w:rsidRPr="0019570D">
              <w:rPr>
                <w:rFonts w:eastAsia="Times New Roman" w:cs="Times New Roman"/>
                <w:color w:val="000000"/>
              </w:rPr>
              <w:t>Preoperative mechanical bowel prep</w:t>
            </w:r>
          </w:p>
          <w:p w14:paraId="4F2850AE" w14:textId="4E107AB1" w:rsidR="0060622C" w:rsidRPr="0019570D" w:rsidRDefault="005616F4" w:rsidP="00D21E65">
            <w:pPr>
              <w:pStyle w:val="TableParagraph"/>
              <w:rPr>
                <w:rFonts w:eastAsia="Times New Roman" w:cs="Times New Roman"/>
                <w:color w:val="000000"/>
              </w:rPr>
            </w:pPr>
            <w:r w:rsidRPr="0019570D">
              <w:rPr>
                <w:rFonts w:eastAsia="Times New Roman" w:cs="Times New Roman"/>
                <w:color w:val="000000"/>
              </w:rPr>
              <w:t>Preoperative oral antibiotics</w:t>
            </w:r>
          </w:p>
          <w:p w14:paraId="58AC03A4" w14:textId="77777777" w:rsidR="0060622C" w:rsidRPr="0019570D" w:rsidRDefault="0060622C" w:rsidP="00D21E65">
            <w:pPr>
              <w:pStyle w:val="TableParagraph"/>
            </w:pPr>
          </w:p>
        </w:tc>
      </w:tr>
    </w:tbl>
    <w:p w14:paraId="5E4BC6D4" w14:textId="77777777" w:rsidR="00FC6D8E" w:rsidRDefault="00FC6D8E" w:rsidP="00FC6D8E">
      <w:pPr>
        <w:spacing w:after="120" w:line="240" w:lineRule="auto"/>
        <w:ind w:left="180" w:hanging="180"/>
      </w:pPr>
      <w:r w:rsidRPr="00AE595D">
        <w:t>Abbreviations:</w:t>
      </w:r>
      <w:r>
        <w:t xml:space="preserve"> ISCR = Improving Surgical Care and Recovery</w:t>
      </w:r>
    </w:p>
    <w:p w14:paraId="088E14E1" w14:textId="77777777" w:rsidR="00FC6D8E" w:rsidRDefault="00FC6D8E" w:rsidP="004D6710">
      <w:pPr>
        <w:spacing w:after="120" w:line="240" w:lineRule="auto"/>
        <w:ind w:left="180" w:hanging="180"/>
      </w:pPr>
    </w:p>
    <w:p w14:paraId="64983B75" w14:textId="418609FF" w:rsidR="00451483" w:rsidRDefault="00B557E6" w:rsidP="004D6710">
      <w:pPr>
        <w:spacing w:after="120" w:line="240" w:lineRule="auto"/>
        <w:ind w:left="180" w:hanging="180"/>
      </w:pPr>
      <w:r w:rsidRPr="0019570D">
        <w:t xml:space="preserve">1 </w:t>
      </w:r>
      <w:proofErr w:type="spellStart"/>
      <w:r w:rsidRPr="0019570D">
        <w:t>Berríos</w:t>
      </w:r>
      <w:proofErr w:type="spellEnd"/>
      <w:r w:rsidRPr="0019570D">
        <w:t>-Torres SI, Umscheid CA, Bratzler DW, et al. Centers for Disease Control and Prevention Guideline for the Prevention of Surgical Site Infection, 2017. JAMA Surg. 2017;152(8):</w:t>
      </w:r>
      <w:r w:rsidRPr="00B557E6">
        <w:t>784</w:t>
      </w:r>
      <w:r w:rsidR="00FC6D8E">
        <w:t>-</w:t>
      </w:r>
      <w:r w:rsidRPr="00B557E6">
        <w:t>91. doi:10.1001/jamasurg.2017.0904</w:t>
      </w:r>
      <w:r w:rsidR="00FC6D8E">
        <w:t xml:space="preserve">. </w:t>
      </w:r>
      <w:hyperlink r:id="rId17" w:history="1">
        <w:r w:rsidR="00FC6D8E" w:rsidRPr="0019570D">
          <w:rPr>
            <w:rStyle w:val="Hyperlink"/>
            <w:rFonts w:eastAsia="Times New Roman" w:cs="Times New Roman"/>
          </w:rPr>
          <w:t>https://www.cdc.gov/infectioncontrol/guidelines/ssi/index.html</w:t>
        </w:r>
      </w:hyperlink>
      <w:r w:rsidR="00FC6D8E">
        <w:rPr>
          <w:rStyle w:val="Hyperlink"/>
          <w:rFonts w:eastAsia="Times New Roman" w:cs="Times New Roman"/>
        </w:rPr>
        <w:t>.</w:t>
      </w:r>
    </w:p>
    <w:p w14:paraId="3F2DE6B3" w14:textId="77777777" w:rsidR="00451483" w:rsidRPr="00AE595D" w:rsidRDefault="00451483" w:rsidP="00AE595D">
      <w:pPr>
        <w:spacing w:after="120" w:line="240" w:lineRule="auto"/>
        <w:rPr>
          <w:b/>
        </w:rPr>
      </w:pPr>
    </w:p>
    <w:p w14:paraId="5EF829C8" w14:textId="77777777" w:rsidR="00014742" w:rsidRDefault="00014742">
      <w:pPr>
        <w:spacing w:after="160" w:line="259" w:lineRule="auto"/>
        <w:ind w:left="360" w:hanging="360"/>
        <w:rPr>
          <w:b/>
          <w:bCs/>
          <w:sz w:val="28"/>
          <w:szCs w:val="28"/>
        </w:rPr>
      </w:pPr>
      <w:r>
        <w:br w:type="page"/>
      </w:r>
    </w:p>
    <w:p w14:paraId="7167C5CE" w14:textId="77777777" w:rsidR="003C380A" w:rsidRDefault="000A5AE2">
      <w:pPr>
        <w:pStyle w:val="Heading2"/>
      </w:pPr>
      <w:bookmarkStart w:id="8" w:name="_Toc117000794"/>
      <w:r w:rsidRPr="00AE595D">
        <w:lastRenderedPageBreak/>
        <w:t>Preoperative Bathing</w:t>
      </w:r>
      <w:bookmarkEnd w:id="8"/>
    </w:p>
    <w:p w14:paraId="351C5C1C" w14:textId="4E3A5639" w:rsidR="000A5AE2" w:rsidRPr="00AE595D" w:rsidRDefault="000A5AE2" w:rsidP="000A5AE2">
      <w:pPr>
        <w:pStyle w:val="BodyText1"/>
        <w:rPr>
          <w:b/>
        </w:rPr>
      </w:pPr>
      <w:r w:rsidRPr="000A5AE2">
        <w:t xml:space="preserve">Patients should undergo at-home bathing the night before surgery or morning of surgery with either antibacterial soap or antiseptic agent. Chlorhexidine cloths upon admission should be considered for patients </w:t>
      </w:r>
      <w:r w:rsidR="00FC6D8E">
        <w:t>who</w:t>
      </w:r>
      <w:r w:rsidRPr="000A5AE2">
        <w:t xml:space="preserve"> could not complete bathing prior to arrival at the hospital.</w:t>
      </w:r>
    </w:p>
    <w:tbl>
      <w:tblPr>
        <w:tblStyle w:val="GridTable1Light1"/>
        <w:tblW w:w="5002" w:type="pct"/>
        <w:tblLook w:val="0600" w:firstRow="0" w:lastRow="0" w:firstColumn="0" w:lastColumn="0" w:noHBand="1" w:noVBand="1"/>
      </w:tblPr>
      <w:tblGrid>
        <w:gridCol w:w="1677"/>
        <w:gridCol w:w="1402"/>
        <w:gridCol w:w="9948"/>
        <w:gridCol w:w="3133"/>
        <w:gridCol w:w="3935"/>
        <w:gridCol w:w="2944"/>
      </w:tblGrid>
      <w:tr w:rsidR="003C380A" w:rsidRPr="00AE595D" w14:paraId="38180DDB" w14:textId="77777777" w:rsidTr="00B623FD">
        <w:trPr>
          <w:cantSplit/>
          <w:trHeight w:val="973"/>
          <w:tblHeader/>
        </w:trPr>
        <w:tc>
          <w:tcPr>
            <w:tcW w:w="364" w:type="pct"/>
            <w:hideMark/>
          </w:tcPr>
          <w:p w14:paraId="1C0663C8" w14:textId="3F9AEB62" w:rsidR="003C380A" w:rsidRPr="00AE595D" w:rsidRDefault="003C380A" w:rsidP="00AE595D">
            <w:pPr>
              <w:spacing w:after="120" w:line="240" w:lineRule="auto"/>
              <w:ind w:left="152"/>
            </w:pPr>
            <w:r w:rsidRPr="00AE595D">
              <w:rPr>
                <w:b/>
                <w:bCs/>
              </w:rPr>
              <w:t xml:space="preserve">Pathway </w:t>
            </w:r>
          </w:p>
        </w:tc>
        <w:tc>
          <w:tcPr>
            <w:tcW w:w="304" w:type="pct"/>
            <w:hideMark/>
          </w:tcPr>
          <w:p w14:paraId="3C2EBFAE" w14:textId="77777777" w:rsidR="003C380A" w:rsidRPr="00AE595D" w:rsidRDefault="003C380A" w:rsidP="00AE595D">
            <w:pPr>
              <w:spacing w:after="120" w:line="240" w:lineRule="auto"/>
              <w:rPr>
                <w:b/>
                <w:bCs/>
              </w:rPr>
            </w:pPr>
            <w:r w:rsidRPr="00AE595D">
              <w:rPr>
                <w:b/>
                <w:bCs/>
              </w:rPr>
              <w:t>Component</w:t>
            </w:r>
          </w:p>
        </w:tc>
        <w:tc>
          <w:tcPr>
            <w:tcW w:w="2159" w:type="pct"/>
            <w:hideMark/>
          </w:tcPr>
          <w:p w14:paraId="687C4FC0" w14:textId="2F0AB9B3" w:rsidR="009B185A" w:rsidRDefault="003C380A" w:rsidP="00AE595D">
            <w:pPr>
              <w:spacing w:after="120" w:line="240" w:lineRule="auto"/>
              <w:rPr>
                <w:b/>
                <w:bCs/>
              </w:rPr>
            </w:pPr>
            <w:r w:rsidRPr="00AE595D">
              <w:rPr>
                <w:b/>
                <w:bCs/>
              </w:rPr>
              <w:t xml:space="preserve">Example Processes </w:t>
            </w:r>
            <w:r w:rsidR="00FC6D8E">
              <w:rPr>
                <w:b/>
                <w:bCs/>
              </w:rPr>
              <w:t>T</w:t>
            </w:r>
            <w:r w:rsidRPr="00AE595D">
              <w:rPr>
                <w:b/>
                <w:bCs/>
              </w:rPr>
              <w:t>o Consider</w:t>
            </w:r>
          </w:p>
          <w:p w14:paraId="040C54EA" w14:textId="77777777" w:rsidR="003C380A" w:rsidRPr="009B185A" w:rsidRDefault="003C380A" w:rsidP="00AE595D">
            <w:pPr>
              <w:spacing w:after="120" w:line="240" w:lineRule="auto"/>
              <w:rPr>
                <w:i/>
              </w:rPr>
            </w:pPr>
            <w:r w:rsidRPr="009B185A">
              <w:rPr>
                <w:bCs/>
                <w:i/>
              </w:rPr>
              <w:t>As a team, go through each component and discuss what approach best fits your hospital. It may be an option other than what is listed below.</w:t>
            </w:r>
          </w:p>
        </w:tc>
        <w:tc>
          <w:tcPr>
            <w:tcW w:w="680" w:type="pct"/>
            <w:hideMark/>
          </w:tcPr>
          <w:p w14:paraId="68225884" w14:textId="77777777" w:rsidR="003C380A" w:rsidRPr="00AE595D" w:rsidRDefault="003C380A" w:rsidP="00AE595D">
            <w:pPr>
              <w:spacing w:after="120" w:line="240" w:lineRule="auto"/>
            </w:pPr>
            <w:r w:rsidRPr="00AE595D">
              <w:rPr>
                <w:b/>
                <w:bCs/>
              </w:rPr>
              <w:t>Team Decisions/Notes</w:t>
            </w:r>
          </w:p>
          <w:p w14:paraId="08AAB30C" w14:textId="77777777" w:rsidR="003C380A" w:rsidRPr="009B185A" w:rsidRDefault="003C380A" w:rsidP="00AE595D">
            <w:pPr>
              <w:spacing w:after="120" w:line="240" w:lineRule="auto"/>
              <w:rPr>
                <w:i/>
              </w:rPr>
            </w:pPr>
            <w:r w:rsidRPr="009B185A">
              <w:rPr>
                <w:bCs/>
                <w:i/>
              </w:rPr>
              <w:t>As a team, note exceptions and contraindications to the treatment or medications.</w:t>
            </w:r>
          </w:p>
        </w:tc>
        <w:tc>
          <w:tcPr>
            <w:tcW w:w="854" w:type="pct"/>
            <w:hideMark/>
          </w:tcPr>
          <w:p w14:paraId="17A386D7" w14:textId="3CA15903" w:rsidR="003C380A" w:rsidRPr="00AE595D" w:rsidRDefault="00AA140E" w:rsidP="00AE595D">
            <w:pPr>
              <w:spacing w:after="120" w:line="240" w:lineRule="auto"/>
            </w:pPr>
            <w:r>
              <w:rPr>
                <w:b/>
                <w:bCs/>
              </w:rPr>
              <w:t xml:space="preserve">Other Available Resources </w:t>
            </w:r>
            <w:r w:rsidR="00B623FD">
              <w:rPr>
                <w:b/>
                <w:bCs/>
              </w:rPr>
              <w:t>and</w:t>
            </w:r>
            <w:r>
              <w:rPr>
                <w:b/>
                <w:bCs/>
              </w:rPr>
              <w:t xml:space="preserve"> Tips </w:t>
            </w:r>
            <w:r w:rsidR="00B623FD">
              <w:rPr>
                <w:b/>
                <w:bCs/>
              </w:rPr>
              <w:t>T</w:t>
            </w:r>
            <w:r>
              <w:rPr>
                <w:b/>
                <w:bCs/>
              </w:rPr>
              <w:t>o Consider</w:t>
            </w:r>
          </w:p>
        </w:tc>
        <w:tc>
          <w:tcPr>
            <w:tcW w:w="639" w:type="pct"/>
            <w:hideMark/>
          </w:tcPr>
          <w:p w14:paraId="77789169" w14:textId="77777777" w:rsidR="00745B3F" w:rsidRDefault="00D63FC9" w:rsidP="00AE595D">
            <w:pPr>
              <w:spacing w:after="120" w:line="240" w:lineRule="auto"/>
              <w:rPr>
                <w:b/>
                <w:bCs/>
              </w:rPr>
            </w:pPr>
            <w:r w:rsidRPr="00D63FC9">
              <w:rPr>
                <w:b/>
                <w:bCs/>
              </w:rPr>
              <w:t>ISCR Measures</w:t>
            </w:r>
          </w:p>
          <w:p w14:paraId="676F68E5" w14:textId="77777777" w:rsidR="003C380A" w:rsidRPr="00AE595D" w:rsidRDefault="00745B3F" w:rsidP="00AE595D">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60622C" w:rsidRPr="00AE595D" w14:paraId="3FBC2398" w14:textId="77777777" w:rsidTr="00B623FD">
        <w:trPr>
          <w:cantSplit/>
          <w:trHeight w:val="334"/>
        </w:trPr>
        <w:tc>
          <w:tcPr>
            <w:tcW w:w="364" w:type="pct"/>
            <w:hideMark/>
          </w:tcPr>
          <w:p w14:paraId="0DD85D48" w14:textId="77777777" w:rsidR="0060622C" w:rsidRPr="007D43FC" w:rsidRDefault="008F4F73" w:rsidP="00AE595D">
            <w:pPr>
              <w:spacing w:after="120" w:line="240" w:lineRule="auto"/>
              <w:ind w:left="152"/>
              <w:rPr>
                <w:b/>
              </w:rPr>
            </w:pPr>
            <w:r w:rsidRPr="007D43FC">
              <w:rPr>
                <w:b/>
              </w:rPr>
              <w:t>All</w:t>
            </w:r>
            <w:r w:rsidR="000A5AE2" w:rsidRPr="007D43FC">
              <w:rPr>
                <w:b/>
              </w:rPr>
              <w:t xml:space="preserve"> </w:t>
            </w:r>
            <w:r w:rsidR="006A1D34" w:rsidRPr="007D43FC">
              <w:rPr>
                <w:b/>
              </w:rPr>
              <w:t xml:space="preserve">ISCR </w:t>
            </w:r>
            <w:r w:rsidR="000A5AE2" w:rsidRPr="007D43FC">
              <w:rPr>
                <w:b/>
              </w:rPr>
              <w:t>Pathway</w:t>
            </w:r>
            <w:r w:rsidRPr="007D43FC">
              <w:rPr>
                <w:b/>
              </w:rPr>
              <w:t>s</w:t>
            </w:r>
            <w:r w:rsidR="00B15E3E" w:rsidRPr="007D43FC">
              <w:rPr>
                <w:b/>
              </w:rPr>
              <w:t xml:space="preserve"> </w:t>
            </w:r>
          </w:p>
        </w:tc>
        <w:tc>
          <w:tcPr>
            <w:tcW w:w="304" w:type="pct"/>
          </w:tcPr>
          <w:p w14:paraId="407F5B03" w14:textId="77777777" w:rsidR="0060622C" w:rsidRPr="00AE595D" w:rsidRDefault="0060622C" w:rsidP="00AE595D">
            <w:pPr>
              <w:spacing w:after="120" w:line="240" w:lineRule="auto"/>
              <w:rPr>
                <w:b/>
                <w:bCs/>
              </w:rPr>
            </w:pPr>
            <w:r w:rsidRPr="00AE595D">
              <w:rPr>
                <w:b/>
                <w:bCs/>
              </w:rPr>
              <w:t>Preoperative Bathing</w:t>
            </w:r>
          </w:p>
        </w:tc>
        <w:tc>
          <w:tcPr>
            <w:tcW w:w="2159" w:type="pct"/>
          </w:tcPr>
          <w:p w14:paraId="70D36358" w14:textId="77777777" w:rsidR="0060622C" w:rsidRPr="007D43FC" w:rsidRDefault="0060622C" w:rsidP="00AE595D">
            <w:pPr>
              <w:spacing w:after="120" w:line="240" w:lineRule="auto"/>
              <w:rPr>
                <w:rFonts w:eastAsia="Times New Roman" w:cs="Times New Roman"/>
                <w:b/>
                <w:color w:val="000000"/>
              </w:rPr>
            </w:pPr>
            <w:r w:rsidRPr="007D43FC">
              <w:rPr>
                <w:rFonts w:eastAsia="Times New Roman" w:cs="Times New Roman"/>
                <w:b/>
                <w:color w:val="000000"/>
              </w:rPr>
              <w:t xml:space="preserve">Choose your approach: </w:t>
            </w:r>
          </w:p>
          <w:p w14:paraId="78971E54" w14:textId="6DE9AD28" w:rsidR="0060622C" w:rsidRPr="008F4F73" w:rsidRDefault="00E143EC" w:rsidP="007F7E50">
            <w:pPr>
              <w:pStyle w:val="ListParagraph"/>
              <w:numPr>
                <w:ilvl w:val="0"/>
                <w:numId w:val="2"/>
              </w:numPr>
              <w:spacing w:after="120" w:line="240" w:lineRule="auto"/>
              <w:contextualSpacing w:val="0"/>
              <w:rPr>
                <w:rFonts w:eastAsia="Times New Roman" w:cs="Times New Roman"/>
                <w:color w:val="000000"/>
              </w:rPr>
            </w:pPr>
            <w:r w:rsidRPr="00AE595D">
              <w:t xml:space="preserve">At-home bathing at least the night before or morning of surgery with either antibacterial soap  or antiseptic agent (either washcloths with chlorhexidine gluconate or soap with chlorhexidine gluconate, such as </w:t>
            </w:r>
            <w:proofErr w:type="spellStart"/>
            <w:r w:rsidRPr="00AE595D">
              <w:t>Hibiclens</w:t>
            </w:r>
            <w:proofErr w:type="spellEnd"/>
            <w:r w:rsidR="00D7245F">
              <w:t>®</w:t>
            </w:r>
            <w:r w:rsidRPr="00AE595D">
              <w:t>).</w:t>
            </w:r>
          </w:p>
          <w:p w14:paraId="587363FE" w14:textId="77777777" w:rsidR="008F4F73" w:rsidRPr="00AE595D" w:rsidRDefault="008F4F73" w:rsidP="007F7E50">
            <w:pPr>
              <w:pStyle w:val="ListParagraph"/>
              <w:numPr>
                <w:ilvl w:val="0"/>
                <w:numId w:val="2"/>
              </w:numPr>
              <w:spacing w:after="120" w:line="240" w:lineRule="auto"/>
              <w:contextualSpacing w:val="0"/>
              <w:rPr>
                <w:rFonts w:eastAsia="Times New Roman" w:cs="Times New Roman"/>
                <w:color w:val="000000"/>
              </w:rPr>
            </w:pPr>
            <w:r>
              <w:rPr>
                <w:rFonts w:eastAsia="Times New Roman" w:cs="Times New Roman"/>
                <w:color w:val="000000"/>
              </w:rPr>
              <w:t xml:space="preserve">If time allows </w:t>
            </w:r>
            <w:r w:rsidR="00030F46">
              <w:rPr>
                <w:rFonts w:eastAsia="Times New Roman" w:cs="Times New Roman"/>
                <w:color w:val="000000"/>
              </w:rPr>
              <w:t>be</w:t>
            </w:r>
            <w:r>
              <w:rPr>
                <w:rFonts w:eastAsia="Times New Roman" w:cs="Times New Roman"/>
                <w:color w:val="000000"/>
              </w:rPr>
              <w:t>for</w:t>
            </w:r>
            <w:r w:rsidR="00030F46">
              <w:rPr>
                <w:rFonts w:eastAsia="Times New Roman" w:cs="Times New Roman"/>
                <w:color w:val="000000"/>
              </w:rPr>
              <w:t>e</w:t>
            </w:r>
            <w:r>
              <w:rPr>
                <w:rFonts w:eastAsia="Times New Roman" w:cs="Times New Roman"/>
                <w:color w:val="000000"/>
              </w:rPr>
              <w:t xml:space="preserve"> emergen</w:t>
            </w:r>
            <w:r w:rsidR="00490C04">
              <w:rPr>
                <w:rFonts w:eastAsia="Times New Roman" w:cs="Times New Roman"/>
                <w:color w:val="000000"/>
              </w:rPr>
              <w:t>cy</w:t>
            </w:r>
            <w:r>
              <w:rPr>
                <w:rFonts w:eastAsia="Times New Roman" w:cs="Times New Roman"/>
                <w:color w:val="000000"/>
              </w:rPr>
              <w:t xml:space="preserve"> procedures, use an antiseptic agent</w:t>
            </w:r>
            <w:r w:rsidR="007F7E50">
              <w:rPr>
                <w:rFonts w:eastAsia="Times New Roman" w:cs="Times New Roman"/>
                <w:color w:val="000000"/>
              </w:rPr>
              <w:t xml:space="preserve"> prior to patient going into the operating room.</w:t>
            </w:r>
          </w:p>
        </w:tc>
        <w:tc>
          <w:tcPr>
            <w:tcW w:w="680" w:type="pct"/>
          </w:tcPr>
          <w:p w14:paraId="5DCFDB44" w14:textId="64A3B7F0" w:rsidR="0060622C" w:rsidRPr="00AE595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FC6D8E">
              <w:rPr>
                <w:rFonts w:eastAsia="Times New Roman" w:cs="Times New Roman"/>
                <w:i/>
                <w:color w:val="000000"/>
              </w:rPr>
              <w:t xml:space="preserve">team decisions/notes </w:t>
            </w:r>
            <w:r w:rsidRPr="007C7841">
              <w:rPr>
                <w:rFonts w:eastAsia="Times New Roman" w:cs="Times New Roman"/>
                <w:i/>
                <w:color w:val="000000"/>
              </w:rPr>
              <w:t>here</w:t>
            </w:r>
          </w:p>
        </w:tc>
        <w:tc>
          <w:tcPr>
            <w:tcW w:w="854" w:type="pct"/>
          </w:tcPr>
          <w:p w14:paraId="0A1BB14C" w14:textId="14E096FE" w:rsidR="006E6532" w:rsidRDefault="003023A5" w:rsidP="006E6532">
            <w:pPr>
              <w:spacing w:after="120" w:line="240" w:lineRule="auto"/>
              <w:rPr>
                <w:rFonts w:eastAsia="Times New Roman" w:cs="Times New Roman"/>
                <w:color w:val="000000"/>
              </w:rPr>
            </w:pPr>
            <w:r>
              <w:rPr>
                <w:rFonts w:eastAsia="Times New Roman" w:cs="Times New Roman"/>
                <w:b/>
                <w:color w:val="000000"/>
              </w:rPr>
              <w:t>Tip</w:t>
            </w:r>
            <w:r w:rsidR="00E143EC" w:rsidRPr="00AE595D">
              <w:rPr>
                <w:rFonts w:eastAsia="Times New Roman" w:cs="Times New Roman"/>
                <w:color w:val="000000"/>
              </w:rPr>
              <w:t xml:space="preserve">: </w:t>
            </w:r>
            <w:r w:rsidR="00745B3F">
              <w:rPr>
                <w:rFonts w:eastAsia="Times New Roman" w:cs="Times New Roman"/>
                <w:color w:val="000000"/>
              </w:rPr>
              <w:t>D</w:t>
            </w:r>
            <w:r w:rsidR="00E143EC" w:rsidRPr="00AE595D">
              <w:rPr>
                <w:rFonts w:eastAsia="Times New Roman" w:cs="Times New Roman"/>
                <w:color w:val="000000"/>
              </w:rPr>
              <w:t>evelop a workflow that fits at your hospital</w:t>
            </w:r>
            <w:r w:rsidR="006E6532">
              <w:rPr>
                <w:rFonts w:eastAsia="Times New Roman" w:cs="Times New Roman"/>
                <w:color w:val="000000"/>
              </w:rPr>
              <w:t xml:space="preserve"> to educate patients on </w:t>
            </w:r>
            <w:r w:rsidR="00566996">
              <w:rPr>
                <w:rFonts w:eastAsia="Times New Roman" w:cs="Times New Roman"/>
                <w:color w:val="000000"/>
              </w:rPr>
              <w:t xml:space="preserve">the </w:t>
            </w:r>
            <w:r w:rsidR="006E6532">
              <w:rPr>
                <w:rFonts w:eastAsia="Times New Roman" w:cs="Times New Roman"/>
                <w:color w:val="000000"/>
              </w:rPr>
              <w:t>importance of bathing prior to surgery.</w:t>
            </w:r>
          </w:p>
          <w:p w14:paraId="636D722B" w14:textId="070D4C05" w:rsidR="0060622C" w:rsidRPr="00AE595D" w:rsidRDefault="003023A5" w:rsidP="006E6532">
            <w:pPr>
              <w:spacing w:after="120" w:line="240" w:lineRule="auto"/>
              <w:rPr>
                <w:rFonts w:eastAsia="Times New Roman" w:cs="Times New Roman"/>
                <w:color w:val="000000"/>
              </w:rPr>
            </w:pPr>
            <w:r>
              <w:rPr>
                <w:rFonts w:eastAsia="Times New Roman" w:cs="Times New Roman"/>
                <w:b/>
                <w:color w:val="000000"/>
              </w:rPr>
              <w:t>Tip</w:t>
            </w:r>
            <w:r w:rsidR="006E6532" w:rsidRPr="00745B3F">
              <w:rPr>
                <w:rFonts w:eastAsia="Times New Roman" w:cs="Times New Roman"/>
                <w:b/>
                <w:color w:val="000000"/>
              </w:rPr>
              <w:t>:</w:t>
            </w:r>
            <w:r w:rsidR="006E6532">
              <w:rPr>
                <w:rFonts w:eastAsia="Times New Roman" w:cs="Times New Roman"/>
                <w:color w:val="000000"/>
              </w:rPr>
              <w:t xml:space="preserve"> Talk with </w:t>
            </w:r>
            <w:r w:rsidR="00745B3F">
              <w:rPr>
                <w:rFonts w:eastAsia="Times New Roman" w:cs="Times New Roman"/>
                <w:color w:val="000000"/>
              </w:rPr>
              <w:t xml:space="preserve">your </w:t>
            </w:r>
            <w:r w:rsidR="00B623FD">
              <w:rPr>
                <w:rFonts w:eastAsia="Times New Roman" w:cs="Times New Roman"/>
                <w:color w:val="000000"/>
              </w:rPr>
              <w:t>p</w:t>
            </w:r>
            <w:r w:rsidR="006E6532">
              <w:rPr>
                <w:rFonts w:eastAsia="Times New Roman" w:cs="Times New Roman"/>
                <w:color w:val="000000"/>
              </w:rPr>
              <w:t>reop area to standardize documentation of preoperative bathing.</w:t>
            </w:r>
            <w:r w:rsidR="00E143EC" w:rsidRPr="00AE595D">
              <w:rPr>
                <w:rFonts w:eastAsia="Times New Roman" w:cs="Times New Roman"/>
                <w:color w:val="000000"/>
              </w:rPr>
              <w:t xml:space="preserve"> </w:t>
            </w:r>
          </w:p>
        </w:tc>
        <w:tc>
          <w:tcPr>
            <w:tcW w:w="639" w:type="pct"/>
          </w:tcPr>
          <w:p w14:paraId="78C1D959" w14:textId="45C60191" w:rsidR="0060622C" w:rsidRPr="00745B3F" w:rsidRDefault="00663CFB" w:rsidP="00745B3F">
            <w:pPr>
              <w:spacing w:after="120" w:line="240" w:lineRule="auto"/>
              <w:rPr>
                <w:rFonts w:eastAsia="Times New Roman" w:cs="Times New Roman"/>
                <w:color w:val="000000"/>
              </w:rPr>
            </w:pPr>
            <w:r w:rsidRPr="00745B3F">
              <w:rPr>
                <w:rFonts w:eastAsia="Times New Roman" w:cs="Times New Roman"/>
                <w:color w:val="000000"/>
              </w:rPr>
              <w:t>Preop</w:t>
            </w:r>
            <w:r w:rsidR="00F8370D">
              <w:rPr>
                <w:rFonts w:eastAsia="Times New Roman" w:cs="Times New Roman"/>
                <w:color w:val="000000"/>
              </w:rPr>
              <w:t>erativ</w:t>
            </w:r>
            <w:r w:rsidR="005616F4">
              <w:rPr>
                <w:rFonts w:eastAsia="Times New Roman" w:cs="Times New Roman"/>
                <w:color w:val="000000"/>
              </w:rPr>
              <w:t>e</w:t>
            </w:r>
            <w:r w:rsidR="005616F4" w:rsidRPr="00745B3F">
              <w:rPr>
                <w:rFonts w:eastAsia="Times New Roman" w:cs="Times New Roman"/>
                <w:color w:val="000000"/>
              </w:rPr>
              <w:t xml:space="preserve"> bathing</w:t>
            </w:r>
          </w:p>
        </w:tc>
      </w:tr>
    </w:tbl>
    <w:p w14:paraId="2FAE463A" w14:textId="0FD3A2D1" w:rsidR="002435FA" w:rsidRDefault="00B623FD" w:rsidP="00AE595D">
      <w:pPr>
        <w:spacing w:after="120" w:line="240" w:lineRule="auto"/>
        <w:rPr>
          <w:b/>
        </w:rPr>
      </w:pPr>
      <w:r w:rsidRPr="00AE595D">
        <w:t>Abbreviations:</w:t>
      </w:r>
      <w:r>
        <w:t xml:space="preserve"> ISCR = Improving Surgical Care and Recovery</w:t>
      </w:r>
    </w:p>
    <w:p w14:paraId="4BC8E7E6" w14:textId="37283E61" w:rsidR="009B185A" w:rsidRDefault="009B185A" w:rsidP="00B623FD">
      <w:pPr>
        <w:spacing w:after="160" w:line="259" w:lineRule="auto"/>
        <w:rPr>
          <w:b/>
          <w:bCs/>
          <w:sz w:val="28"/>
          <w:szCs w:val="28"/>
        </w:rPr>
      </w:pPr>
    </w:p>
    <w:p w14:paraId="0C40483B" w14:textId="77777777" w:rsidR="00B623FD" w:rsidRDefault="00B623FD">
      <w:pPr>
        <w:spacing w:after="160" w:line="259" w:lineRule="auto"/>
        <w:ind w:left="360" w:hanging="360"/>
        <w:rPr>
          <w:b/>
          <w:bCs/>
          <w:sz w:val="28"/>
          <w:szCs w:val="28"/>
        </w:rPr>
      </w:pPr>
      <w:bookmarkStart w:id="9" w:name="_Toc117000795"/>
      <w:bookmarkStart w:id="10" w:name="_Hlk113889416"/>
      <w:r>
        <w:br w:type="page"/>
      </w:r>
    </w:p>
    <w:p w14:paraId="757551AC" w14:textId="242A02B5" w:rsidR="003C380A" w:rsidRDefault="007A0C37">
      <w:pPr>
        <w:pStyle w:val="Heading2"/>
      </w:pPr>
      <w:r w:rsidRPr="00AE595D">
        <w:lastRenderedPageBreak/>
        <w:t>Preoperative</w:t>
      </w:r>
      <w:r w:rsidR="000A5AE2">
        <w:t xml:space="preserve"> </w:t>
      </w:r>
      <w:r w:rsidR="00ED7E88" w:rsidRPr="009C7C23">
        <w:rPr>
          <w:i/>
          <w:iCs/>
        </w:rPr>
        <w:t>S</w:t>
      </w:r>
      <w:r w:rsidR="00B623FD" w:rsidRPr="009C7C23">
        <w:rPr>
          <w:i/>
          <w:iCs/>
        </w:rPr>
        <w:t>taphylococcus</w:t>
      </w:r>
      <w:r w:rsidR="00ED7E88" w:rsidRPr="009C7C23">
        <w:rPr>
          <w:i/>
          <w:iCs/>
        </w:rPr>
        <w:t xml:space="preserve"> aureus</w:t>
      </w:r>
      <w:r w:rsidR="00ED7E88" w:rsidRPr="005B2736">
        <w:t xml:space="preserve"> </w:t>
      </w:r>
      <w:r w:rsidR="000A5AE2" w:rsidRPr="00AE595D">
        <w:t>Decolonization</w:t>
      </w:r>
      <w:bookmarkEnd w:id="9"/>
    </w:p>
    <w:p w14:paraId="30CB1BA3" w14:textId="77777777" w:rsidR="000A5AE2" w:rsidRPr="009011BE" w:rsidRDefault="000A5AE2" w:rsidP="000A5AE2">
      <w:pPr>
        <w:pStyle w:val="BodyText1"/>
        <w:rPr>
          <w:b/>
        </w:rPr>
      </w:pPr>
      <w:r w:rsidRPr="005B2736">
        <w:t xml:space="preserve">Carriers of </w:t>
      </w:r>
      <w:r w:rsidRPr="009C7C23">
        <w:rPr>
          <w:i/>
          <w:iCs/>
        </w:rPr>
        <w:t>S. aureus</w:t>
      </w:r>
      <w:r w:rsidRPr="005B2736">
        <w:t xml:space="preserve"> should be identified and a decolonization regimen should be considered prior to surgery.</w:t>
      </w:r>
    </w:p>
    <w:tbl>
      <w:tblPr>
        <w:tblStyle w:val="GridTable1Light1"/>
        <w:tblW w:w="5002" w:type="pct"/>
        <w:tblLook w:val="0600" w:firstRow="0" w:lastRow="0" w:firstColumn="0" w:lastColumn="0" w:noHBand="1" w:noVBand="1"/>
      </w:tblPr>
      <w:tblGrid>
        <w:gridCol w:w="2305"/>
        <w:gridCol w:w="1987"/>
        <w:gridCol w:w="8820"/>
        <w:gridCol w:w="2715"/>
        <w:gridCol w:w="3885"/>
        <w:gridCol w:w="3327"/>
      </w:tblGrid>
      <w:tr w:rsidR="00552D9A" w:rsidRPr="00AE595D" w14:paraId="7905A5AA" w14:textId="77777777" w:rsidTr="009B185A">
        <w:trPr>
          <w:cantSplit/>
          <w:trHeight w:val="973"/>
          <w:tblHeader/>
        </w:trPr>
        <w:tc>
          <w:tcPr>
            <w:tcW w:w="500" w:type="pct"/>
            <w:hideMark/>
          </w:tcPr>
          <w:bookmarkEnd w:id="10"/>
          <w:p w14:paraId="7AF00245" w14:textId="0747604B" w:rsidR="00552D9A" w:rsidRPr="00AE595D" w:rsidRDefault="00552D9A" w:rsidP="00AE595D">
            <w:pPr>
              <w:spacing w:after="120" w:line="240" w:lineRule="auto"/>
            </w:pPr>
            <w:r w:rsidRPr="00AE595D">
              <w:rPr>
                <w:b/>
                <w:bCs/>
              </w:rPr>
              <w:t xml:space="preserve">Pathway </w:t>
            </w:r>
          </w:p>
        </w:tc>
        <w:tc>
          <w:tcPr>
            <w:tcW w:w="431" w:type="pct"/>
            <w:hideMark/>
          </w:tcPr>
          <w:p w14:paraId="64940AE6" w14:textId="77777777" w:rsidR="00552D9A" w:rsidRPr="00AE595D" w:rsidRDefault="00552D9A" w:rsidP="00AE595D">
            <w:pPr>
              <w:spacing w:after="120" w:line="240" w:lineRule="auto"/>
              <w:rPr>
                <w:b/>
                <w:bCs/>
              </w:rPr>
            </w:pPr>
            <w:r w:rsidRPr="00AE595D">
              <w:rPr>
                <w:b/>
                <w:bCs/>
              </w:rPr>
              <w:t>Component</w:t>
            </w:r>
          </w:p>
        </w:tc>
        <w:tc>
          <w:tcPr>
            <w:tcW w:w="1914" w:type="pct"/>
            <w:hideMark/>
          </w:tcPr>
          <w:p w14:paraId="1E7300E2" w14:textId="5400ACD3" w:rsidR="009B185A" w:rsidRDefault="00552D9A" w:rsidP="00AE595D">
            <w:pPr>
              <w:spacing w:after="120" w:line="240" w:lineRule="auto"/>
              <w:rPr>
                <w:b/>
                <w:bCs/>
              </w:rPr>
            </w:pPr>
            <w:r w:rsidRPr="00AE595D">
              <w:rPr>
                <w:b/>
                <w:bCs/>
              </w:rPr>
              <w:t xml:space="preserve">Example Processes </w:t>
            </w:r>
            <w:r w:rsidR="00B623FD">
              <w:rPr>
                <w:b/>
                <w:bCs/>
              </w:rPr>
              <w:t>T</w:t>
            </w:r>
            <w:r w:rsidRPr="00AE595D">
              <w:rPr>
                <w:b/>
                <w:bCs/>
              </w:rPr>
              <w:t>o Consider</w:t>
            </w:r>
          </w:p>
          <w:p w14:paraId="3CF5A416" w14:textId="77777777" w:rsidR="00552D9A" w:rsidRPr="009B185A" w:rsidRDefault="00552D9A" w:rsidP="00AE595D">
            <w:pPr>
              <w:spacing w:after="120" w:line="240" w:lineRule="auto"/>
            </w:pPr>
            <w:r w:rsidRPr="009B185A">
              <w:rPr>
                <w:bCs/>
                <w:i/>
              </w:rPr>
              <w:t>As a team, go through each component and discuss what approach best fits your hospital. It may be an option other than what is listed below.</w:t>
            </w:r>
          </w:p>
        </w:tc>
        <w:tc>
          <w:tcPr>
            <w:tcW w:w="589" w:type="pct"/>
            <w:hideMark/>
          </w:tcPr>
          <w:p w14:paraId="36A4AC7F" w14:textId="77777777" w:rsidR="00552D9A" w:rsidRPr="00AE595D" w:rsidRDefault="00552D9A" w:rsidP="00AE595D">
            <w:pPr>
              <w:spacing w:after="120" w:line="240" w:lineRule="auto"/>
            </w:pPr>
            <w:r w:rsidRPr="00AE595D">
              <w:rPr>
                <w:b/>
                <w:bCs/>
              </w:rPr>
              <w:t>Team Decisions/Notes</w:t>
            </w:r>
          </w:p>
          <w:p w14:paraId="667A4912" w14:textId="77777777" w:rsidR="00552D9A" w:rsidRPr="009B185A" w:rsidRDefault="00552D9A" w:rsidP="00AE595D">
            <w:pPr>
              <w:spacing w:after="120" w:line="240" w:lineRule="auto"/>
              <w:rPr>
                <w:i/>
              </w:rPr>
            </w:pPr>
            <w:r w:rsidRPr="009B185A">
              <w:rPr>
                <w:bCs/>
                <w:i/>
              </w:rPr>
              <w:t>As a team, note exceptions and contraindications to the treatment or medications.</w:t>
            </w:r>
          </w:p>
        </w:tc>
        <w:tc>
          <w:tcPr>
            <w:tcW w:w="843" w:type="pct"/>
            <w:hideMark/>
          </w:tcPr>
          <w:p w14:paraId="7C521592" w14:textId="5AE81F76" w:rsidR="00552D9A" w:rsidRPr="00AE595D" w:rsidRDefault="00AA140E" w:rsidP="00AE595D">
            <w:pPr>
              <w:spacing w:after="120" w:line="240" w:lineRule="auto"/>
            </w:pPr>
            <w:r>
              <w:rPr>
                <w:b/>
                <w:bCs/>
              </w:rPr>
              <w:t xml:space="preserve">Other Available Resources </w:t>
            </w:r>
            <w:r w:rsidR="00B623FD">
              <w:rPr>
                <w:b/>
                <w:bCs/>
              </w:rPr>
              <w:t>and</w:t>
            </w:r>
            <w:r>
              <w:rPr>
                <w:b/>
                <w:bCs/>
              </w:rPr>
              <w:t xml:space="preserve"> Tips </w:t>
            </w:r>
            <w:r w:rsidR="00B623FD">
              <w:rPr>
                <w:b/>
                <w:bCs/>
              </w:rPr>
              <w:t>T</w:t>
            </w:r>
            <w:r>
              <w:rPr>
                <w:b/>
                <w:bCs/>
              </w:rPr>
              <w:t>o Consider</w:t>
            </w:r>
          </w:p>
        </w:tc>
        <w:tc>
          <w:tcPr>
            <w:tcW w:w="722" w:type="pct"/>
            <w:hideMark/>
          </w:tcPr>
          <w:p w14:paraId="741280AA" w14:textId="77777777" w:rsidR="00A77BB0" w:rsidRDefault="00A77BB0" w:rsidP="00A77BB0">
            <w:pPr>
              <w:spacing w:after="120" w:line="240" w:lineRule="auto"/>
              <w:rPr>
                <w:b/>
                <w:bCs/>
              </w:rPr>
            </w:pPr>
            <w:r w:rsidRPr="00D63FC9">
              <w:rPr>
                <w:b/>
                <w:bCs/>
              </w:rPr>
              <w:t>ISCR Measures</w:t>
            </w:r>
          </w:p>
          <w:p w14:paraId="04DEF911" w14:textId="77777777" w:rsidR="00552D9A" w:rsidRPr="00AE595D" w:rsidRDefault="00A77BB0" w:rsidP="00A77BB0">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552D9A" w:rsidRPr="00AE595D" w14:paraId="35FE96CF" w14:textId="77777777" w:rsidTr="009B185A">
        <w:trPr>
          <w:cantSplit/>
          <w:trHeight w:val="1306"/>
        </w:trPr>
        <w:tc>
          <w:tcPr>
            <w:tcW w:w="500" w:type="pct"/>
            <w:hideMark/>
          </w:tcPr>
          <w:p w14:paraId="68B15634" w14:textId="77777777" w:rsidR="00552D9A" w:rsidRPr="009C15D7" w:rsidRDefault="00A77BB0" w:rsidP="00AE595D">
            <w:pPr>
              <w:spacing w:after="120" w:line="240" w:lineRule="auto"/>
              <w:ind w:left="152"/>
              <w:rPr>
                <w:b/>
              </w:rPr>
            </w:pPr>
            <w:r w:rsidRPr="009C15D7">
              <w:rPr>
                <w:b/>
              </w:rPr>
              <w:t>All ISCR Pathways</w:t>
            </w:r>
          </w:p>
          <w:p w14:paraId="7644F502" w14:textId="77777777" w:rsidR="00021B2F" w:rsidRPr="007D43FC" w:rsidRDefault="00021B2F" w:rsidP="00AE595D">
            <w:pPr>
              <w:spacing w:after="120" w:line="240" w:lineRule="auto"/>
              <w:ind w:left="152"/>
              <w:rPr>
                <w:b/>
              </w:rPr>
            </w:pPr>
          </w:p>
        </w:tc>
        <w:tc>
          <w:tcPr>
            <w:tcW w:w="431" w:type="pct"/>
          </w:tcPr>
          <w:p w14:paraId="4E78520D" w14:textId="77777777" w:rsidR="00552D9A" w:rsidRPr="00AE595D" w:rsidRDefault="00552D9A" w:rsidP="00AE595D">
            <w:pPr>
              <w:spacing w:after="120" w:line="240" w:lineRule="auto"/>
              <w:rPr>
                <w:b/>
                <w:bCs/>
              </w:rPr>
            </w:pPr>
            <w:r w:rsidRPr="00AE595D">
              <w:rPr>
                <w:b/>
                <w:bCs/>
              </w:rPr>
              <w:t xml:space="preserve">Decolonization </w:t>
            </w:r>
          </w:p>
        </w:tc>
        <w:tc>
          <w:tcPr>
            <w:tcW w:w="1914" w:type="pct"/>
          </w:tcPr>
          <w:p w14:paraId="78F08E2B" w14:textId="77777777" w:rsidR="00552D9A" w:rsidRPr="007D43FC" w:rsidRDefault="007D43FC" w:rsidP="00AE595D">
            <w:pPr>
              <w:spacing w:after="120" w:line="240" w:lineRule="auto"/>
              <w:rPr>
                <w:b/>
              </w:rPr>
            </w:pPr>
            <w:bookmarkStart w:id="11" w:name="_Hlk113889286"/>
            <w:r w:rsidRPr="007D43FC">
              <w:rPr>
                <w:b/>
              </w:rPr>
              <w:t xml:space="preserve">Choose your </w:t>
            </w:r>
            <w:r w:rsidR="00552D9A" w:rsidRPr="007D43FC">
              <w:rPr>
                <w:b/>
              </w:rPr>
              <w:t xml:space="preserve">approach: </w:t>
            </w:r>
          </w:p>
          <w:p w14:paraId="3F8AF278" w14:textId="77777777" w:rsidR="006B10B4" w:rsidRPr="00AE595D" w:rsidRDefault="006B10B4" w:rsidP="007F7E50">
            <w:pPr>
              <w:numPr>
                <w:ilvl w:val="0"/>
                <w:numId w:val="2"/>
              </w:numPr>
              <w:spacing w:after="120" w:line="240" w:lineRule="auto"/>
            </w:pPr>
            <w:r w:rsidRPr="00AE595D">
              <w:t>Develop process to screen patients for S. aureus carriage.</w:t>
            </w:r>
            <w:r w:rsidR="00610728" w:rsidRPr="00014742">
              <w:rPr>
                <w:vertAlign w:val="superscript"/>
              </w:rPr>
              <w:t>1</w:t>
            </w:r>
          </w:p>
          <w:p w14:paraId="5084C055" w14:textId="4BC98703" w:rsidR="006B10B4" w:rsidRPr="00AE595D" w:rsidRDefault="006B10B4" w:rsidP="007F7E50">
            <w:pPr>
              <w:numPr>
                <w:ilvl w:val="0"/>
                <w:numId w:val="2"/>
              </w:numPr>
              <w:spacing w:after="120" w:line="240" w:lineRule="auto"/>
            </w:pPr>
            <w:r w:rsidRPr="00AE595D">
              <w:t>Develop decolonization regimen (e.g., 5 days of nasal mupirocin plus chlorhexidine bathing)</w:t>
            </w:r>
            <w:r w:rsidR="00ED7E88">
              <w:t xml:space="preserve"> </w:t>
            </w:r>
            <w:r w:rsidR="00ED7E88" w:rsidRPr="00AE595D">
              <w:t>for patients found to be nasal carriers</w:t>
            </w:r>
            <w:r w:rsidR="00610728">
              <w:rPr>
                <w:vertAlign w:val="superscript"/>
              </w:rPr>
              <w:t>2</w:t>
            </w:r>
            <w:r w:rsidRPr="00AE595D">
              <w:t xml:space="preserve"> </w:t>
            </w:r>
          </w:p>
          <w:p w14:paraId="0FD35573" w14:textId="77777777" w:rsidR="006B10B4" w:rsidRPr="00AE595D" w:rsidRDefault="006B10B4" w:rsidP="00AE595D">
            <w:pPr>
              <w:spacing w:after="120" w:line="240" w:lineRule="auto"/>
              <w:ind w:left="720"/>
              <w:rPr>
                <w:i/>
              </w:rPr>
            </w:pPr>
            <w:r w:rsidRPr="00AE595D">
              <w:rPr>
                <w:i/>
              </w:rPr>
              <w:t>OR</w:t>
            </w:r>
          </w:p>
          <w:p w14:paraId="3981C4B7" w14:textId="77777777" w:rsidR="00AF3453" w:rsidRPr="00AE595D" w:rsidRDefault="006B10B4" w:rsidP="007F7E50">
            <w:pPr>
              <w:pStyle w:val="ListParagraph"/>
              <w:numPr>
                <w:ilvl w:val="0"/>
                <w:numId w:val="2"/>
              </w:numPr>
              <w:spacing w:after="120" w:line="240" w:lineRule="auto"/>
              <w:contextualSpacing w:val="0"/>
            </w:pPr>
            <w:r w:rsidRPr="00AE595D">
              <w:t>Implement protocol for povidone iodine decontamination for all patients starting in the preoperative area</w:t>
            </w:r>
            <w:bookmarkEnd w:id="11"/>
            <w:r w:rsidR="000E7D1A" w:rsidRPr="00014742">
              <w:rPr>
                <w:vertAlign w:val="superscript"/>
              </w:rPr>
              <w:t>3</w:t>
            </w:r>
          </w:p>
        </w:tc>
        <w:tc>
          <w:tcPr>
            <w:tcW w:w="589" w:type="pct"/>
          </w:tcPr>
          <w:p w14:paraId="42647334" w14:textId="14BD5C5D" w:rsidR="00552D9A" w:rsidRPr="00AE595D" w:rsidRDefault="00001AAC" w:rsidP="00AE595D">
            <w:pPr>
              <w:spacing w:after="120" w:line="240" w:lineRule="auto"/>
            </w:pPr>
            <w:r w:rsidRPr="007C7841">
              <w:rPr>
                <w:rFonts w:eastAsia="Times New Roman" w:cs="Times New Roman"/>
                <w:i/>
                <w:color w:val="000000"/>
              </w:rPr>
              <w:t xml:space="preserve">Enter </w:t>
            </w:r>
            <w:r w:rsidR="00B623FD">
              <w:rPr>
                <w:rFonts w:eastAsia="Times New Roman" w:cs="Times New Roman"/>
                <w:i/>
                <w:color w:val="000000"/>
              </w:rPr>
              <w:t xml:space="preserve">team decisions/notes </w:t>
            </w:r>
            <w:r w:rsidRPr="007C7841">
              <w:rPr>
                <w:rFonts w:eastAsia="Times New Roman" w:cs="Times New Roman"/>
                <w:i/>
                <w:color w:val="000000"/>
              </w:rPr>
              <w:t>here</w:t>
            </w:r>
          </w:p>
        </w:tc>
        <w:tc>
          <w:tcPr>
            <w:tcW w:w="843" w:type="pct"/>
          </w:tcPr>
          <w:p w14:paraId="22A459C0" w14:textId="160BE496" w:rsidR="00552D9A" w:rsidRPr="00AE595D" w:rsidRDefault="00602886" w:rsidP="00AE595D">
            <w:pPr>
              <w:spacing w:after="120" w:line="240" w:lineRule="auto"/>
              <w:rPr>
                <w:b/>
              </w:rPr>
            </w:pPr>
            <w:r>
              <w:rPr>
                <w:b/>
              </w:rPr>
              <w:t xml:space="preserve">Tip: </w:t>
            </w:r>
            <w:r w:rsidR="00582950" w:rsidRPr="00014742">
              <w:t>consider</w:t>
            </w:r>
            <w:r w:rsidR="00582950">
              <w:rPr>
                <w:b/>
              </w:rPr>
              <w:t xml:space="preserve"> </w:t>
            </w:r>
            <w:r w:rsidRPr="00014742">
              <w:t xml:space="preserve">who </w:t>
            </w:r>
            <w:r w:rsidR="00582950">
              <w:t xml:space="preserve">will </w:t>
            </w:r>
            <w:r w:rsidRPr="00014742">
              <w:t xml:space="preserve">order and perform </w:t>
            </w:r>
            <w:r w:rsidR="00582950">
              <w:t>screening</w:t>
            </w:r>
            <w:r w:rsidRPr="00014742">
              <w:t xml:space="preserve"> and how the topical agents </w:t>
            </w:r>
            <w:r w:rsidR="00582950">
              <w:t>will be</w:t>
            </w:r>
            <w:r w:rsidRPr="00014742">
              <w:t xml:space="preserve"> provided to patients in the appropriate preoperative timeframe.</w:t>
            </w:r>
          </w:p>
          <w:p w14:paraId="1613D5A6" w14:textId="77777777" w:rsidR="00552D9A" w:rsidRPr="00AE595D" w:rsidRDefault="00552D9A" w:rsidP="00AE595D">
            <w:pPr>
              <w:spacing w:after="120" w:line="240" w:lineRule="auto"/>
            </w:pPr>
          </w:p>
        </w:tc>
        <w:tc>
          <w:tcPr>
            <w:tcW w:w="722" w:type="pct"/>
          </w:tcPr>
          <w:p w14:paraId="11F7EBF1" w14:textId="4F6A023D" w:rsidR="00552D9A" w:rsidRPr="00D033DE" w:rsidRDefault="00D033DE" w:rsidP="00AE595D">
            <w:pPr>
              <w:spacing w:after="120" w:line="240" w:lineRule="auto"/>
              <w:rPr>
                <w:bCs/>
                <w:i/>
                <w:color w:val="000000"/>
              </w:rPr>
            </w:pPr>
            <w:r w:rsidRPr="00D033DE">
              <w:rPr>
                <w:bCs/>
                <w:i/>
                <w:color w:val="000000"/>
              </w:rPr>
              <w:t xml:space="preserve">Enter </w:t>
            </w:r>
            <w:r w:rsidR="00B623FD">
              <w:rPr>
                <w:bCs/>
                <w:i/>
                <w:color w:val="000000"/>
              </w:rPr>
              <w:t xml:space="preserve">ISCR measures </w:t>
            </w:r>
            <w:r w:rsidRPr="00D033DE">
              <w:rPr>
                <w:bCs/>
                <w:i/>
                <w:color w:val="000000"/>
              </w:rPr>
              <w:t>here</w:t>
            </w:r>
            <w:r w:rsidR="00552D9A" w:rsidRPr="00D033DE">
              <w:rPr>
                <w:bCs/>
                <w:i/>
                <w:color w:val="000000"/>
              </w:rPr>
              <w:br/>
            </w:r>
          </w:p>
          <w:p w14:paraId="6F233D96" w14:textId="77777777" w:rsidR="00552D9A" w:rsidRPr="00AE595D" w:rsidRDefault="00552D9A" w:rsidP="00AE595D">
            <w:pPr>
              <w:spacing w:after="120" w:line="240" w:lineRule="auto"/>
              <w:jc w:val="center"/>
            </w:pPr>
          </w:p>
        </w:tc>
      </w:tr>
    </w:tbl>
    <w:p w14:paraId="5F662326" w14:textId="6C5F608A" w:rsidR="00B623FD" w:rsidRDefault="00B623FD" w:rsidP="004D6710">
      <w:pPr>
        <w:spacing w:after="120" w:line="240" w:lineRule="auto"/>
        <w:ind w:left="180" w:hanging="180"/>
      </w:pPr>
      <w:r w:rsidRPr="00AE595D">
        <w:t>Abbreviations:</w:t>
      </w:r>
      <w:r>
        <w:t xml:space="preserve"> ISCR = Improving Surgical Care and Recovery</w:t>
      </w:r>
    </w:p>
    <w:p w14:paraId="02EC4BA9" w14:textId="40A2BEF9" w:rsidR="000A5AE2" w:rsidRPr="00014742" w:rsidRDefault="00E818BC" w:rsidP="004D6710">
      <w:pPr>
        <w:spacing w:after="120" w:line="240" w:lineRule="auto"/>
        <w:ind w:left="180" w:hanging="180"/>
      </w:pPr>
      <w:r w:rsidRPr="00014742">
        <w:t xml:space="preserve">1 </w:t>
      </w:r>
      <w:proofErr w:type="spellStart"/>
      <w:r w:rsidRPr="00014742">
        <w:t>Sporer</w:t>
      </w:r>
      <w:proofErr w:type="spellEnd"/>
      <w:r w:rsidRPr="00014742">
        <w:t xml:space="preserve"> SM, Rogers T, </w:t>
      </w:r>
      <w:proofErr w:type="spellStart"/>
      <w:r w:rsidRPr="00014742">
        <w:t>Abella</w:t>
      </w:r>
      <w:proofErr w:type="spellEnd"/>
      <w:r w:rsidRPr="00014742">
        <w:t xml:space="preserve"> L. Methicillin-</w:t>
      </w:r>
      <w:r w:rsidR="00B623FD">
        <w:t>r</w:t>
      </w:r>
      <w:r w:rsidRPr="00014742">
        <w:t xml:space="preserve">esistant and </w:t>
      </w:r>
      <w:r w:rsidR="00B623FD">
        <w:t>m</w:t>
      </w:r>
      <w:r w:rsidRPr="00014742">
        <w:t>ethicillin-</w:t>
      </w:r>
      <w:r w:rsidR="00B623FD">
        <w:t>s</w:t>
      </w:r>
      <w:r w:rsidRPr="00014742">
        <w:t xml:space="preserve">ensitive Staphylococcus aureus Screening and </w:t>
      </w:r>
      <w:r w:rsidR="00B623FD">
        <w:t>d</w:t>
      </w:r>
      <w:r w:rsidRPr="00014742">
        <w:t xml:space="preserve">ecolonization to </w:t>
      </w:r>
      <w:r w:rsidR="00B623FD" w:rsidRPr="00014742">
        <w:t>reduce surgical site infection in elective total joint arthroplasty</w:t>
      </w:r>
      <w:r w:rsidRPr="00014742">
        <w:t xml:space="preserve">. J Arthroplasty. 2016 Sep;31(9 Suppl):144-7. </w:t>
      </w:r>
      <w:proofErr w:type="spellStart"/>
      <w:r w:rsidRPr="00014742">
        <w:t>doi</w:t>
      </w:r>
      <w:proofErr w:type="spellEnd"/>
      <w:r w:rsidRPr="00014742">
        <w:t xml:space="preserve">: 10.1016/j.arth.2016.05.019. </w:t>
      </w:r>
      <w:proofErr w:type="spellStart"/>
      <w:r w:rsidRPr="00014742">
        <w:t>Epub</w:t>
      </w:r>
      <w:proofErr w:type="spellEnd"/>
      <w:r w:rsidRPr="00014742">
        <w:t xml:space="preserve"> 2016 May 18. PMID: 27387479.</w:t>
      </w:r>
    </w:p>
    <w:p w14:paraId="3E1F384F" w14:textId="3E853C83" w:rsidR="00610728" w:rsidRPr="00014742" w:rsidRDefault="00610728" w:rsidP="004D6710">
      <w:pPr>
        <w:spacing w:after="120" w:line="240" w:lineRule="auto"/>
        <w:ind w:left="180" w:hanging="180"/>
      </w:pPr>
      <w:r w:rsidRPr="00014742">
        <w:t xml:space="preserve">2 Huang SS, Singh R, </w:t>
      </w:r>
      <w:proofErr w:type="spellStart"/>
      <w:r w:rsidRPr="00014742">
        <w:t>McKinnell</w:t>
      </w:r>
      <w:proofErr w:type="spellEnd"/>
      <w:r w:rsidRPr="00014742">
        <w:t xml:space="preserve"> JA, et al. Decolonization to reduce </w:t>
      </w:r>
      <w:proofErr w:type="spellStart"/>
      <w:r w:rsidRPr="00014742">
        <w:t>postdischarge</w:t>
      </w:r>
      <w:proofErr w:type="spellEnd"/>
      <w:r w:rsidRPr="00014742">
        <w:t xml:space="preserve"> infection risk among MRSA carriers. N </w:t>
      </w:r>
      <w:proofErr w:type="spellStart"/>
      <w:r w:rsidRPr="00014742">
        <w:t>Engl</w:t>
      </w:r>
      <w:proofErr w:type="spellEnd"/>
      <w:r w:rsidRPr="00014742">
        <w:t xml:space="preserve"> J Med. 2019 Feb 14;380(7):638-50. PMID: 30763195.</w:t>
      </w:r>
    </w:p>
    <w:p w14:paraId="4EC00518" w14:textId="77777777" w:rsidR="000E7D1A" w:rsidRPr="00014742" w:rsidRDefault="000E7D1A" w:rsidP="004D6710">
      <w:pPr>
        <w:spacing w:after="120" w:line="240" w:lineRule="auto"/>
        <w:ind w:left="180" w:hanging="180"/>
      </w:pPr>
      <w:r w:rsidRPr="00014742">
        <w:t xml:space="preserve">3 </w:t>
      </w:r>
      <w:proofErr w:type="spellStart"/>
      <w:r w:rsidRPr="00014742">
        <w:t>Sharara</w:t>
      </w:r>
      <w:proofErr w:type="spellEnd"/>
      <w:r w:rsidRPr="00014742">
        <w:t xml:space="preserve"> SL, Maragakis LL, Cosgrove SE. Decolonization of Staphylococcus aureus. Infect Dis Clin North Am. 2021 Mar;35(1):107-133. </w:t>
      </w:r>
      <w:proofErr w:type="spellStart"/>
      <w:r w:rsidRPr="00014742">
        <w:t>doi</w:t>
      </w:r>
      <w:proofErr w:type="spellEnd"/>
      <w:r w:rsidRPr="00014742">
        <w:t xml:space="preserve">: 10.1016/j.idc.2020.10.010. </w:t>
      </w:r>
      <w:proofErr w:type="spellStart"/>
      <w:r w:rsidRPr="00014742">
        <w:t>Epub</w:t>
      </w:r>
      <w:proofErr w:type="spellEnd"/>
      <w:r w:rsidRPr="00014742">
        <w:t xml:space="preserve"> 2020 Dec 7. PMID: 33303331.</w:t>
      </w:r>
    </w:p>
    <w:p w14:paraId="379044C2" w14:textId="77777777" w:rsidR="00B15E3E" w:rsidRDefault="00B15E3E">
      <w:pPr>
        <w:spacing w:after="160" w:line="259" w:lineRule="auto"/>
        <w:ind w:left="360" w:hanging="360"/>
        <w:rPr>
          <w:b/>
          <w:bCs/>
          <w:sz w:val="28"/>
          <w:szCs w:val="28"/>
        </w:rPr>
      </w:pPr>
      <w:r>
        <w:br w:type="page"/>
      </w:r>
    </w:p>
    <w:p w14:paraId="34AA948E" w14:textId="77777777" w:rsidR="005A6A31" w:rsidRDefault="005A6A31">
      <w:pPr>
        <w:pStyle w:val="Heading2"/>
      </w:pPr>
      <w:bookmarkStart w:id="12" w:name="_Toc117000796"/>
      <w:r w:rsidRPr="00AE595D">
        <w:lastRenderedPageBreak/>
        <w:t>Preoperative</w:t>
      </w:r>
      <w:r w:rsidR="000A5AE2" w:rsidRPr="000A5AE2">
        <w:t xml:space="preserve"> Reduced Fasting</w:t>
      </w:r>
      <w:bookmarkEnd w:id="12"/>
    </w:p>
    <w:p w14:paraId="0F11C968" w14:textId="77777777" w:rsidR="000A5AE2" w:rsidRPr="005B2736" w:rsidRDefault="000A5AE2" w:rsidP="00B15E3E">
      <w:pPr>
        <w:pStyle w:val="BodyText1"/>
      </w:pPr>
      <w:r w:rsidRPr="005B2736">
        <w:t>Reduced fasting with intake of solids until 6 hours prior to induction and intake of clear liquids until 2 hours prior to induction is recommended for patients unless they have documented delayed gastric emptying or other contraindications</w:t>
      </w:r>
      <w:r>
        <w:t>.</w:t>
      </w:r>
    </w:p>
    <w:p w14:paraId="386848A3" w14:textId="77777777" w:rsidR="000A5AE2" w:rsidRPr="005B2736" w:rsidRDefault="000A5AE2" w:rsidP="00B15E3E">
      <w:pPr>
        <w:pStyle w:val="Bullet1"/>
      </w:pPr>
      <w:r w:rsidRPr="009011BE">
        <w:rPr>
          <w:i/>
        </w:rPr>
        <w:t>For colorectal patients receiving mechanical bowel preparation:</w:t>
      </w:r>
      <w:r w:rsidRPr="005B2736">
        <w:t xml:space="preserve"> intake of clear liquids until 2 hours prior to induction is recommended</w:t>
      </w:r>
      <w:r>
        <w:t>.</w:t>
      </w:r>
    </w:p>
    <w:p w14:paraId="13B7755A" w14:textId="77777777" w:rsidR="000A5AE2" w:rsidRPr="00AE595D" w:rsidRDefault="000A5AE2" w:rsidP="00B15081">
      <w:pPr>
        <w:pStyle w:val="Bullet1"/>
        <w:rPr>
          <w:b/>
        </w:rPr>
      </w:pPr>
      <w:r w:rsidRPr="00B15E3E">
        <w:rPr>
          <w:i/>
        </w:rPr>
        <w:t>For colorectal patients not receiving mechanical bowel preparation:</w:t>
      </w:r>
      <w:r w:rsidRPr="005B2736">
        <w:t xml:space="preserve"> intake of solids until 6 hours prior to induction and intake of clear liquids until 2 hours prior to induction is recommended.</w:t>
      </w:r>
    </w:p>
    <w:tbl>
      <w:tblPr>
        <w:tblStyle w:val="GridTable1Light1"/>
        <w:tblW w:w="5002" w:type="pct"/>
        <w:tblLook w:val="0600" w:firstRow="0" w:lastRow="0" w:firstColumn="0" w:lastColumn="0" w:noHBand="1" w:noVBand="1"/>
      </w:tblPr>
      <w:tblGrid>
        <w:gridCol w:w="3895"/>
        <w:gridCol w:w="3427"/>
        <w:gridCol w:w="4398"/>
        <w:gridCol w:w="3901"/>
        <w:gridCol w:w="3910"/>
        <w:gridCol w:w="3508"/>
      </w:tblGrid>
      <w:tr w:rsidR="00AE595D" w:rsidRPr="00AE595D" w14:paraId="46885F76" w14:textId="77777777" w:rsidTr="009C7C23">
        <w:trPr>
          <w:cantSplit/>
          <w:trHeight w:val="925"/>
          <w:tblHeader/>
        </w:trPr>
        <w:tc>
          <w:tcPr>
            <w:tcW w:w="0" w:type="pct"/>
            <w:hideMark/>
          </w:tcPr>
          <w:p w14:paraId="001DB2E6" w14:textId="0CC897C6" w:rsidR="003C380A" w:rsidRPr="00AE595D" w:rsidRDefault="003C380A" w:rsidP="00AE595D">
            <w:pPr>
              <w:spacing w:after="120" w:line="240" w:lineRule="auto"/>
              <w:ind w:left="152"/>
            </w:pPr>
            <w:r w:rsidRPr="00AE595D">
              <w:rPr>
                <w:b/>
                <w:bCs/>
              </w:rPr>
              <w:t xml:space="preserve">Pathway </w:t>
            </w:r>
          </w:p>
        </w:tc>
        <w:tc>
          <w:tcPr>
            <w:tcW w:w="0" w:type="pct"/>
            <w:hideMark/>
          </w:tcPr>
          <w:p w14:paraId="0E64D3AF" w14:textId="77777777" w:rsidR="003C380A" w:rsidRPr="00AE595D" w:rsidRDefault="003C380A" w:rsidP="00AE595D">
            <w:pPr>
              <w:spacing w:after="120" w:line="240" w:lineRule="auto"/>
              <w:rPr>
                <w:b/>
                <w:bCs/>
              </w:rPr>
            </w:pPr>
            <w:r w:rsidRPr="00AE595D">
              <w:rPr>
                <w:b/>
                <w:bCs/>
              </w:rPr>
              <w:t>Component</w:t>
            </w:r>
          </w:p>
        </w:tc>
        <w:tc>
          <w:tcPr>
            <w:tcW w:w="0" w:type="pct"/>
            <w:hideMark/>
          </w:tcPr>
          <w:p w14:paraId="4D19A7E8" w14:textId="186F3034" w:rsidR="009B185A" w:rsidRDefault="003C380A" w:rsidP="00AE595D">
            <w:pPr>
              <w:spacing w:after="120" w:line="240" w:lineRule="auto"/>
              <w:rPr>
                <w:b/>
                <w:bCs/>
              </w:rPr>
            </w:pPr>
            <w:r w:rsidRPr="00AE595D">
              <w:rPr>
                <w:b/>
                <w:bCs/>
              </w:rPr>
              <w:t xml:space="preserve">Example Processes </w:t>
            </w:r>
            <w:r w:rsidR="00B623FD">
              <w:rPr>
                <w:b/>
                <w:bCs/>
              </w:rPr>
              <w:t>T</w:t>
            </w:r>
            <w:r w:rsidRPr="00AE595D">
              <w:rPr>
                <w:b/>
                <w:bCs/>
              </w:rPr>
              <w:t>o Consider</w:t>
            </w:r>
          </w:p>
          <w:p w14:paraId="6C4B547D" w14:textId="77777777" w:rsidR="003C380A" w:rsidRPr="00AE595D" w:rsidRDefault="003C380A" w:rsidP="00AE595D">
            <w:pPr>
              <w:spacing w:after="120" w:line="240" w:lineRule="auto"/>
            </w:pPr>
            <w:r w:rsidRPr="009B185A">
              <w:rPr>
                <w:bCs/>
                <w:i/>
              </w:rPr>
              <w:t>As a team, go through each component and discuss what approach best fits your hospital. It may be an option other than what is listed below.</w:t>
            </w:r>
          </w:p>
        </w:tc>
        <w:tc>
          <w:tcPr>
            <w:tcW w:w="0" w:type="pct"/>
            <w:hideMark/>
          </w:tcPr>
          <w:p w14:paraId="20F53054" w14:textId="77777777" w:rsidR="003C380A" w:rsidRPr="00AE595D" w:rsidRDefault="003C380A" w:rsidP="00AE595D">
            <w:pPr>
              <w:spacing w:after="120" w:line="240" w:lineRule="auto"/>
            </w:pPr>
            <w:r w:rsidRPr="00AE595D">
              <w:rPr>
                <w:b/>
                <w:bCs/>
              </w:rPr>
              <w:t>Team Decisions/Notes</w:t>
            </w:r>
          </w:p>
          <w:p w14:paraId="794BD629" w14:textId="77777777" w:rsidR="003C380A" w:rsidRPr="009B185A" w:rsidRDefault="003C380A" w:rsidP="00AE595D">
            <w:pPr>
              <w:spacing w:after="120" w:line="240" w:lineRule="auto"/>
              <w:rPr>
                <w:i/>
              </w:rPr>
            </w:pPr>
            <w:r w:rsidRPr="009B185A">
              <w:rPr>
                <w:bCs/>
                <w:i/>
              </w:rPr>
              <w:t>As a team, note exceptions and contraindications to the treatment or medications.</w:t>
            </w:r>
          </w:p>
        </w:tc>
        <w:tc>
          <w:tcPr>
            <w:tcW w:w="0" w:type="pct"/>
            <w:hideMark/>
          </w:tcPr>
          <w:p w14:paraId="6D63E651" w14:textId="14BD9E23" w:rsidR="003C380A" w:rsidRPr="00AE595D" w:rsidRDefault="00AA140E" w:rsidP="00AE595D">
            <w:pPr>
              <w:spacing w:after="120" w:line="240" w:lineRule="auto"/>
            </w:pPr>
            <w:r>
              <w:rPr>
                <w:b/>
                <w:bCs/>
              </w:rPr>
              <w:t xml:space="preserve">Other Available Resources </w:t>
            </w:r>
            <w:r w:rsidR="00B623FD">
              <w:rPr>
                <w:b/>
                <w:bCs/>
              </w:rPr>
              <w:t>and</w:t>
            </w:r>
            <w:r>
              <w:rPr>
                <w:b/>
                <w:bCs/>
              </w:rPr>
              <w:t xml:space="preserve"> Tips </w:t>
            </w:r>
            <w:r w:rsidR="00B623FD">
              <w:rPr>
                <w:b/>
                <w:bCs/>
              </w:rPr>
              <w:t>T</w:t>
            </w:r>
            <w:r>
              <w:rPr>
                <w:b/>
                <w:bCs/>
              </w:rPr>
              <w:t>o Consider</w:t>
            </w:r>
          </w:p>
        </w:tc>
        <w:tc>
          <w:tcPr>
            <w:tcW w:w="0" w:type="pct"/>
            <w:hideMark/>
          </w:tcPr>
          <w:p w14:paraId="2C87A258" w14:textId="77777777" w:rsidR="009C15D7" w:rsidRDefault="009C15D7" w:rsidP="009C15D7">
            <w:pPr>
              <w:spacing w:after="120" w:line="240" w:lineRule="auto"/>
              <w:rPr>
                <w:b/>
                <w:bCs/>
              </w:rPr>
            </w:pPr>
            <w:r w:rsidRPr="00D63FC9">
              <w:rPr>
                <w:b/>
                <w:bCs/>
              </w:rPr>
              <w:t>ISCR Measures</w:t>
            </w:r>
          </w:p>
          <w:p w14:paraId="6A6BD99E" w14:textId="77777777" w:rsidR="003C380A" w:rsidRPr="00AE595D" w:rsidRDefault="009C15D7" w:rsidP="00894729">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AE595D" w:rsidRPr="00AE595D" w14:paraId="1EF5F4BC" w14:textId="77777777" w:rsidTr="009C7C23">
        <w:trPr>
          <w:cantSplit/>
          <w:trHeight w:val="317"/>
        </w:trPr>
        <w:tc>
          <w:tcPr>
            <w:tcW w:w="0" w:type="pct"/>
            <w:shd w:val="clear" w:color="auto" w:fill="auto"/>
            <w:hideMark/>
          </w:tcPr>
          <w:p w14:paraId="78C2FC45" w14:textId="496871F7" w:rsidR="00AA59B3" w:rsidRPr="007D43FC" w:rsidRDefault="007F7E50" w:rsidP="00AE595D">
            <w:pPr>
              <w:spacing w:after="120" w:line="240" w:lineRule="auto"/>
              <w:ind w:left="152"/>
              <w:rPr>
                <w:b/>
              </w:rPr>
            </w:pPr>
            <w:r w:rsidRPr="007D43FC">
              <w:rPr>
                <w:b/>
              </w:rPr>
              <w:t>All Non</w:t>
            </w:r>
            <w:r w:rsidR="00B623FD">
              <w:rPr>
                <w:b/>
              </w:rPr>
              <w:t>e</w:t>
            </w:r>
            <w:r w:rsidRPr="007D43FC">
              <w:rPr>
                <w:b/>
              </w:rPr>
              <w:t>mergen</w:t>
            </w:r>
            <w:r w:rsidR="00490C04">
              <w:rPr>
                <w:b/>
              </w:rPr>
              <w:t>cy</w:t>
            </w:r>
            <w:r w:rsidR="000A5AE2" w:rsidRPr="007D43FC">
              <w:rPr>
                <w:b/>
              </w:rPr>
              <w:t xml:space="preserve"> </w:t>
            </w:r>
            <w:r w:rsidR="004F6155" w:rsidRPr="007D43FC">
              <w:rPr>
                <w:b/>
              </w:rPr>
              <w:t xml:space="preserve">ISCR </w:t>
            </w:r>
            <w:r w:rsidR="000A5AE2" w:rsidRPr="007D43FC">
              <w:rPr>
                <w:b/>
              </w:rPr>
              <w:t>Pathway</w:t>
            </w:r>
            <w:r w:rsidRPr="007D43FC">
              <w:rPr>
                <w:b/>
              </w:rPr>
              <w:t>s</w:t>
            </w:r>
            <w:r w:rsidR="00B15E3E" w:rsidRPr="007D43FC">
              <w:rPr>
                <w:b/>
              </w:rPr>
              <w:t xml:space="preserve"> </w:t>
            </w:r>
          </w:p>
        </w:tc>
        <w:tc>
          <w:tcPr>
            <w:tcW w:w="0" w:type="pct"/>
          </w:tcPr>
          <w:p w14:paraId="6B54CB11" w14:textId="77777777" w:rsidR="00AA59B3" w:rsidRPr="00AE595D" w:rsidRDefault="00AA59B3" w:rsidP="00AE595D">
            <w:pPr>
              <w:spacing w:after="120" w:line="240" w:lineRule="auto"/>
              <w:rPr>
                <w:b/>
                <w:bCs/>
              </w:rPr>
            </w:pPr>
            <w:r w:rsidRPr="00AE595D">
              <w:rPr>
                <w:b/>
                <w:bCs/>
              </w:rPr>
              <w:t>Reduced Fasting</w:t>
            </w:r>
          </w:p>
        </w:tc>
        <w:tc>
          <w:tcPr>
            <w:tcW w:w="0" w:type="pct"/>
          </w:tcPr>
          <w:p w14:paraId="2EFF2983" w14:textId="77777777" w:rsidR="007D43FC" w:rsidRPr="007D43FC" w:rsidRDefault="007D43FC" w:rsidP="007D43FC">
            <w:pPr>
              <w:spacing w:after="120" w:line="240" w:lineRule="auto"/>
              <w:rPr>
                <w:b/>
              </w:rPr>
            </w:pPr>
            <w:r w:rsidRPr="007D43FC">
              <w:rPr>
                <w:b/>
              </w:rPr>
              <w:t>Recommended approach:</w:t>
            </w:r>
          </w:p>
          <w:p w14:paraId="24FC4254" w14:textId="46E8F4FC" w:rsidR="007F7E50" w:rsidRPr="00AE595D" w:rsidRDefault="00AA59B3" w:rsidP="00AB4582">
            <w:pPr>
              <w:pStyle w:val="ListParagraph"/>
              <w:numPr>
                <w:ilvl w:val="0"/>
                <w:numId w:val="2"/>
              </w:numPr>
              <w:spacing w:after="120" w:line="240" w:lineRule="auto"/>
              <w:ind w:left="975"/>
              <w:contextualSpacing w:val="0"/>
            </w:pPr>
            <w:r w:rsidRPr="00AE595D">
              <w:t>Clear liquids may be ingested for up to 2 h</w:t>
            </w:r>
            <w:r w:rsidR="0005466C">
              <w:t>ours</w:t>
            </w:r>
            <w:r w:rsidRPr="00AE595D">
              <w:t xml:space="preserve"> before elective procedures. A light meal or nonhuman milk may be ingested for up to 6 h</w:t>
            </w:r>
            <w:r w:rsidR="0005466C">
              <w:t>ours</w:t>
            </w:r>
            <w:r w:rsidRPr="00AE595D">
              <w:t xml:space="preserve"> before elective procedures. Additional fasting time (e.g., 8 or more hours) may be needed in cases of patient intake of fried foods, fatty foods, or meat</w:t>
            </w:r>
            <w:r w:rsidR="00AB4582" w:rsidRPr="00AE595D">
              <w:t>.</w:t>
            </w:r>
            <w:r w:rsidR="00AB4582" w:rsidRPr="00890EAD">
              <w:rPr>
                <w:vertAlign w:val="superscript"/>
              </w:rPr>
              <w:t>1</w:t>
            </w:r>
            <w:r w:rsidR="00AB4582" w:rsidRPr="00AE595D">
              <w:t xml:space="preserve"> </w:t>
            </w:r>
            <w:r w:rsidR="007F7E50" w:rsidRPr="007F7E50">
              <w:t xml:space="preserve">If time allows </w:t>
            </w:r>
            <w:r w:rsidR="00472A26">
              <w:t>be</w:t>
            </w:r>
            <w:r w:rsidR="007F7E50" w:rsidRPr="007F7E50">
              <w:t>for</w:t>
            </w:r>
            <w:r w:rsidR="00472A26">
              <w:t>e</w:t>
            </w:r>
            <w:r w:rsidR="007F7E50" w:rsidRPr="007F7E50">
              <w:t xml:space="preserve"> emergen</w:t>
            </w:r>
            <w:r w:rsidR="00490C04">
              <w:t>cy</w:t>
            </w:r>
            <w:r w:rsidR="007F7E50" w:rsidRPr="007F7E50">
              <w:t xml:space="preserve"> procedures, </w:t>
            </w:r>
            <w:r w:rsidR="007F7E50">
              <w:t>follow guidance above</w:t>
            </w:r>
            <w:r w:rsidR="00B623FD">
              <w:t>.</w:t>
            </w:r>
          </w:p>
        </w:tc>
        <w:tc>
          <w:tcPr>
            <w:tcW w:w="0" w:type="pct"/>
          </w:tcPr>
          <w:p w14:paraId="7C894ABB" w14:textId="05C321AD" w:rsidR="00AA59B3" w:rsidRPr="00890EAD" w:rsidRDefault="00001AAC" w:rsidP="00AE595D">
            <w:pPr>
              <w:spacing w:after="120" w:line="240" w:lineRule="auto"/>
              <w:rPr>
                <w:rFonts w:eastAsia="Times New Roman" w:cs="Times New Roman"/>
                <w:i/>
                <w:color w:val="000000"/>
              </w:rPr>
            </w:pPr>
            <w:r w:rsidRPr="00890EAD">
              <w:rPr>
                <w:rFonts w:eastAsia="Times New Roman" w:cs="Times New Roman"/>
                <w:i/>
                <w:color w:val="000000"/>
              </w:rPr>
              <w:t xml:space="preserve">Enter </w:t>
            </w:r>
            <w:r w:rsidR="00B623FD">
              <w:rPr>
                <w:rFonts w:eastAsia="Times New Roman" w:cs="Times New Roman"/>
                <w:i/>
                <w:color w:val="000000"/>
              </w:rPr>
              <w:t xml:space="preserve">team decisions/notes </w:t>
            </w:r>
            <w:r w:rsidRPr="00890EAD">
              <w:rPr>
                <w:rFonts w:eastAsia="Times New Roman" w:cs="Times New Roman"/>
                <w:i/>
                <w:color w:val="000000"/>
              </w:rPr>
              <w:t>here</w:t>
            </w:r>
          </w:p>
        </w:tc>
        <w:tc>
          <w:tcPr>
            <w:tcW w:w="0" w:type="pct"/>
          </w:tcPr>
          <w:p w14:paraId="3A04ED4E" w14:textId="77777777" w:rsidR="00AA59B3" w:rsidRPr="0019570D" w:rsidRDefault="00AE595D" w:rsidP="00AE595D">
            <w:pPr>
              <w:spacing w:after="120" w:line="240" w:lineRule="auto"/>
              <w:rPr>
                <w:rFonts w:eastAsia="Times New Roman" w:cs="Times New Roman"/>
                <w:color w:val="000000"/>
              </w:rPr>
            </w:pPr>
            <w:r w:rsidRPr="00AE595D">
              <w:rPr>
                <w:rFonts w:eastAsia="Times New Roman" w:cs="Times New Roman"/>
                <w:b/>
                <w:color w:val="000000"/>
              </w:rPr>
              <w:t>Resource:</w:t>
            </w:r>
            <w:r w:rsidRPr="00AE595D">
              <w:rPr>
                <w:rFonts w:eastAsia="Times New Roman" w:cs="Times New Roman"/>
                <w:color w:val="000000"/>
              </w:rPr>
              <w:t xml:space="preserve"> </w:t>
            </w:r>
            <w:r w:rsidR="00AA59B3" w:rsidRPr="00AE595D">
              <w:rPr>
                <w:rFonts w:eastAsia="Times New Roman" w:cs="Times New Roman"/>
                <w:color w:val="000000"/>
              </w:rPr>
              <w:t xml:space="preserve">American Society of </w:t>
            </w:r>
            <w:r w:rsidR="00AA59B3" w:rsidRPr="0019570D">
              <w:rPr>
                <w:rFonts w:eastAsia="Times New Roman" w:cs="Times New Roman"/>
                <w:color w:val="000000"/>
              </w:rPr>
              <w:t>Anesthesiologists Practice Guidelines for Preoperative Fasting</w:t>
            </w:r>
            <w:r w:rsidR="001D4098" w:rsidRPr="0019570D">
              <w:rPr>
                <w:rFonts w:eastAsia="Times New Roman" w:cs="Times New Roman"/>
                <w:color w:val="000000"/>
                <w:vertAlign w:val="superscript"/>
              </w:rPr>
              <w:t>1</w:t>
            </w:r>
          </w:p>
          <w:p w14:paraId="6A10AF76" w14:textId="6E220EC5" w:rsidR="00AA59B3"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AA59B3" w:rsidRPr="0019570D">
              <w:rPr>
                <w:rFonts w:eastAsia="Times New Roman" w:cs="Times New Roman"/>
                <w:b/>
                <w:color w:val="000000"/>
              </w:rPr>
              <w:t xml:space="preserve">: </w:t>
            </w:r>
            <w:r w:rsidR="00AA59B3" w:rsidRPr="0019570D">
              <w:rPr>
                <w:rFonts w:eastAsia="Times New Roman" w:cs="Times New Roman"/>
                <w:color w:val="000000"/>
              </w:rPr>
              <w:t>N</w:t>
            </w:r>
            <w:r w:rsidR="0005466C">
              <w:rPr>
                <w:rFonts w:eastAsia="Times New Roman" w:cs="Times New Roman"/>
                <w:color w:val="000000"/>
              </w:rPr>
              <w:t xml:space="preserve">othing by mouth (NPO) </w:t>
            </w:r>
            <w:r w:rsidR="00AA59B3" w:rsidRPr="0019570D">
              <w:rPr>
                <w:rFonts w:eastAsia="Times New Roman" w:cs="Times New Roman"/>
                <w:color w:val="000000"/>
              </w:rPr>
              <w:t>instructions for colorectal patients need</w:t>
            </w:r>
            <w:r w:rsidR="00AA59B3" w:rsidRPr="00AE595D">
              <w:rPr>
                <w:rFonts w:eastAsia="Times New Roman" w:cs="Times New Roman"/>
                <w:color w:val="000000"/>
              </w:rPr>
              <w:t xml:space="preserve"> to be coordinated with the bowel preparation instructions – all team members should agree on instructions</w:t>
            </w:r>
            <w:r w:rsidR="008A4CA8">
              <w:rPr>
                <w:rFonts w:eastAsia="Times New Roman" w:cs="Times New Roman"/>
                <w:color w:val="000000"/>
              </w:rPr>
              <w:t>.</w:t>
            </w:r>
            <w:r w:rsidR="00AA59B3" w:rsidRPr="00AE595D">
              <w:rPr>
                <w:rFonts w:eastAsia="Times New Roman" w:cs="Times New Roman"/>
                <w:b/>
                <w:color w:val="000000"/>
              </w:rPr>
              <w:t xml:space="preserve"> </w:t>
            </w:r>
          </w:p>
        </w:tc>
        <w:tc>
          <w:tcPr>
            <w:tcW w:w="0" w:type="pct"/>
          </w:tcPr>
          <w:p w14:paraId="1D2831D0" w14:textId="77777777" w:rsidR="008E1F57" w:rsidRPr="005935F1" w:rsidRDefault="005935F1" w:rsidP="00894729">
            <w:pPr>
              <w:spacing w:after="120" w:line="240" w:lineRule="auto"/>
              <w:rPr>
                <w:rFonts w:eastAsia="Times New Roman" w:cs="Times New Roman"/>
                <w:bCs/>
                <w:color w:val="000000"/>
              </w:rPr>
            </w:pPr>
            <w:r>
              <w:rPr>
                <w:rFonts w:eastAsia="Times New Roman" w:cs="Times New Roman"/>
                <w:bCs/>
                <w:color w:val="000000"/>
              </w:rPr>
              <w:t xml:space="preserve">Allow clear liquids </w:t>
            </w:r>
            <w:r w:rsidR="00DA7180">
              <w:rPr>
                <w:rFonts w:eastAsia="Times New Roman" w:cs="Times New Roman"/>
                <w:bCs/>
                <w:color w:val="000000"/>
              </w:rPr>
              <w:t>before surgery</w:t>
            </w:r>
          </w:p>
          <w:p w14:paraId="2A0BBA47" w14:textId="77777777" w:rsidR="00AA59B3" w:rsidRPr="00AE595D" w:rsidRDefault="00AA59B3" w:rsidP="00AE595D">
            <w:pPr>
              <w:spacing w:after="120" w:line="240" w:lineRule="auto"/>
              <w:ind w:left="413"/>
              <w:rPr>
                <w:rFonts w:eastAsia="Times New Roman" w:cs="Times New Roman"/>
                <w:b/>
                <w:bCs/>
                <w:color w:val="000000"/>
              </w:rPr>
            </w:pPr>
          </w:p>
        </w:tc>
      </w:tr>
    </w:tbl>
    <w:p w14:paraId="3A98F1BE" w14:textId="187ED8D2" w:rsidR="00B623FD" w:rsidRDefault="00B623FD" w:rsidP="004D6710">
      <w:pPr>
        <w:spacing w:after="120" w:line="240" w:lineRule="auto"/>
        <w:ind w:left="180" w:hanging="180"/>
      </w:pPr>
      <w:r w:rsidRPr="00AE595D">
        <w:t>Abbreviations:</w:t>
      </w:r>
      <w:r>
        <w:t xml:space="preserve"> ISCR = Improving Surgical Care and Recovery</w:t>
      </w:r>
    </w:p>
    <w:p w14:paraId="5CBA99F3" w14:textId="75077824" w:rsidR="003C380A" w:rsidRPr="00AE595D" w:rsidRDefault="001D4098" w:rsidP="004D6710">
      <w:pPr>
        <w:spacing w:after="120" w:line="240" w:lineRule="auto"/>
        <w:ind w:left="180" w:hanging="180"/>
      </w:pPr>
      <w:r w:rsidRPr="0019570D">
        <w:t xml:space="preserve">1 </w:t>
      </w:r>
      <w:r w:rsidR="00B11F03" w:rsidRPr="0019570D">
        <w:t>American</w:t>
      </w:r>
      <w:r w:rsidR="00B11F03" w:rsidRPr="00AE595D">
        <w:t xml:space="preserve"> Society of Anesthesiologists Committee. Practice guidelines for preoperative fasting and the use of pharmacologic agents to reduce the risk of pulmonary aspiration: application to healthy patients undergoing elective procedures: an updated report by the American Society of Anesthesiologists Committee on Standards and Practice Parameters. Anesthesiology. 2011 Mar;114(3):495-511. </w:t>
      </w:r>
      <w:proofErr w:type="spellStart"/>
      <w:r w:rsidR="00B11F03" w:rsidRPr="00AE595D">
        <w:t>doi</w:t>
      </w:r>
      <w:proofErr w:type="spellEnd"/>
      <w:r w:rsidR="00B11F03" w:rsidRPr="00AE595D">
        <w:t>: 10.1097/ALN.0b013e3181fcbfd9. PubMed PMID: 21307770.</w:t>
      </w:r>
    </w:p>
    <w:p w14:paraId="7DB0EE51" w14:textId="77777777" w:rsidR="00B15E3E" w:rsidRDefault="00B15E3E" w:rsidP="000A5AE2">
      <w:pPr>
        <w:pStyle w:val="Section2Title"/>
      </w:pPr>
    </w:p>
    <w:p w14:paraId="07B3A0FA" w14:textId="77777777" w:rsidR="00E455D9" w:rsidRDefault="00E455D9">
      <w:pPr>
        <w:spacing w:after="160" w:line="259" w:lineRule="auto"/>
        <w:ind w:left="360" w:hanging="360"/>
        <w:rPr>
          <w:b/>
          <w:bCs/>
          <w:sz w:val="28"/>
          <w:szCs w:val="28"/>
        </w:rPr>
      </w:pPr>
      <w:r>
        <w:br w:type="page"/>
      </w:r>
    </w:p>
    <w:p w14:paraId="11333A90" w14:textId="77777777" w:rsidR="003C380A" w:rsidRDefault="005A6A31">
      <w:pPr>
        <w:pStyle w:val="Heading2"/>
      </w:pPr>
      <w:bookmarkStart w:id="13" w:name="_Toc117000797"/>
      <w:r w:rsidRPr="00AE595D">
        <w:lastRenderedPageBreak/>
        <w:t>Preoperative</w:t>
      </w:r>
      <w:r w:rsidR="000A5AE2" w:rsidRPr="000A5AE2">
        <w:t xml:space="preserve"> </w:t>
      </w:r>
      <w:r w:rsidR="000A5AE2" w:rsidRPr="00AE595D">
        <w:t>Carbohydrate Loading</w:t>
      </w:r>
      <w:bookmarkEnd w:id="13"/>
    </w:p>
    <w:p w14:paraId="755A7270" w14:textId="77777777" w:rsidR="00B15E3E" w:rsidRDefault="00B15E3E" w:rsidP="00B15E3E">
      <w:pPr>
        <w:pStyle w:val="BodyText1"/>
      </w:pPr>
      <w:r>
        <w:t xml:space="preserve">Routine carbohydrate loading in the immediate preoperative period is recommended, though there is not consensus regarding the optimal regimen and formulation. Preoperative carbohydrate loading is not recommended in patients with diabetes. </w:t>
      </w:r>
    </w:p>
    <w:p w14:paraId="29E52182" w14:textId="77777777" w:rsidR="00B15E3E" w:rsidRPr="00AE595D" w:rsidRDefault="00B15E3E" w:rsidP="00B15E3E">
      <w:pPr>
        <w:pStyle w:val="Bullet1"/>
        <w:rPr>
          <w:b/>
        </w:rPr>
      </w:pPr>
      <w:r w:rsidRPr="00A466F9">
        <w:rPr>
          <w:i/>
        </w:rPr>
        <w:t>Considerations for orthopedic procedures</w:t>
      </w:r>
      <w:r>
        <w:t>: there is limited evidence demonstrating benefit specifically in orthopedic surgery patients</w:t>
      </w:r>
    </w:p>
    <w:tbl>
      <w:tblPr>
        <w:tblStyle w:val="GridTable1Light1"/>
        <w:tblW w:w="5000" w:type="pct"/>
        <w:tblLook w:val="0600" w:firstRow="0" w:lastRow="0" w:firstColumn="0" w:lastColumn="0" w:noHBand="1" w:noVBand="1"/>
      </w:tblPr>
      <w:tblGrid>
        <w:gridCol w:w="3988"/>
        <w:gridCol w:w="3700"/>
        <w:gridCol w:w="4235"/>
        <w:gridCol w:w="3993"/>
        <w:gridCol w:w="3513"/>
        <w:gridCol w:w="3601"/>
      </w:tblGrid>
      <w:tr w:rsidR="003C380A" w:rsidRPr="00AE595D" w14:paraId="66BE596D" w14:textId="77777777" w:rsidTr="009C7C23">
        <w:trPr>
          <w:cantSplit/>
          <w:trHeight w:val="973"/>
          <w:tblHeader/>
        </w:trPr>
        <w:tc>
          <w:tcPr>
            <w:tcW w:w="0" w:type="pct"/>
            <w:hideMark/>
          </w:tcPr>
          <w:p w14:paraId="56434494" w14:textId="55AA0102" w:rsidR="003C380A" w:rsidRPr="00AE595D" w:rsidRDefault="003C380A" w:rsidP="00AE595D">
            <w:pPr>
              <w:spacing w:after="120" w:line="240" w:lineRule="auto"/>
              <w:ind w:left="152"/>
            </w:pPr>
            <w:r w:rsidRPr="00AE595D">
              <w:rPr>
                <w:b/>
                <w:bCs/>
              </w:rPr>
              <w:t xml:space="preserve">Pathway </w:t>
            </w:r>
          </w:p>
        </w:tc>
        <w:tc>
          <w:tcPr>
            <w:tcW w:w="0" w:type="pct"/>
            <w:hideMark/>
          </w:tcPr>
          <w:p w14:paraId="6DAABF20" w14:textId="77777777" w:rsidR="003C380A" w:rsidRPr="00AE595D" w:rsidRDefault="003C380A" w:rsidP="00AE595D">
            <w:pPr>
              <w:spacing w:after="120" w:line="240" w:lineRule="auto"/>
              <w:rPr>
                <w:b/>
                <w:bCs/>
              </w:rPr>
            </w:pPr>
            <w:r w:rsidRPr="00AE595D">
              <w:rPr>
                <w:b/>
                <w:bCs/>
              </w:rPr>
              <w:t>Component</w:t>
            </w:r>
          </w:p>
        </w:tc>
        <w:tc>
          <w:tcPr>
            <w:tcW w:w="0" w:type="pct"/>
            <w:hideMark/>
          </w:tcPr>
          <w:p w14:paraId="4A7314E7" w14:textId="720B42BB" w:rsidR="00137CA9" w:rsidRDefault="003C380A" w:rsidP="00AE595D">
            <w:pPr>
              <w:spacing w:after="120" w:line="240" w:lineRule="auto"/>
              <w:rPr>
                <w:b/>
                <w:bCs/>
              </w:rPr>
            </w:pPr>
            <w:r w:rsidRPr="00AE595D">
              <w:rPr>
                <w:b/>
                <w:bCs/>
              </w:rPr>
              <w:t xml:space="preserve">Example Processes </w:t>
            </w:r>
            <w:r w:rsidR="00821582">
              <w:rPr>
                <w:b/>
                <w:bCs/>
              </w:rPr>
              <w:t>T</w:t>
            </w:r>
            <w:r w:rsidRPr="00AE595D">
              <w:rPr>
                <w:b/>
                <w:bCs/>
              </w:rPr>
              <w:t>o Consider</w:t>
            </w:r>
          </w:p>
          <w:p w14:paraId="3BF5B982" w14:textId="77777777" w:rsidR="003C380A" w:rsidRPr="00137CA9" w:rsidRDefault="003C380A" w:rsidP="00AE595D">
            <w:pPr>
              <w:spacing w:after="120" w:line="240" w:lineRule="auto"/>
            </w:pPr>
            <w:r w:rsidRPr="00137CA9">
              <w:rPr>
                <w:bCs/>
                <w:i/>
              </w:rPr>
              <w:t>As a team, go through each component and discuss what approach best fits your hospital. It may be an option other than what is listed below.</w:t>
            </w:r>
          </w:p>
        </w:tc>
        <w:tc>
          <w:tcPr>
            <w:tcW w:w="0" w:type="pct"/>
            <w:hideMark/>
          </w:tcPr>
          <w:p w14:paraId="5CDA9707" w14:textId="77777777" w:rsidR="003C380A" w:rsidRPr="00AE595D" w:rsidRDefault="003C380A" w:rsidP="00AE595D">
            <w:pPr>
              <w:spacing w:after="120" w:line="240" w:lineRule="auto"/>
            </w:pPr>
            <w:r w:rsidRPr="00AE595D">
              <w:rPr>
                <w:b/>
                <w:bCs/>
              </w:rPr>
              <w:t>Team Decisions/Notes</w:t>
            </w:r>
          </w:p>
          <w:p w14:paraId="48E0C979" w14:textId="77777777" w:rsidR="003C380A" w:rsidRPr="00137CA9" w:rsidRDefault="003C380A" w:rsidP="00AE595D">
            <w:pPr>
              <w:spacing w:after="120" w:line="240" w:lineRule="auto"/>
              <w:rPr>
                <w:i/>
              </w:rPr>
            </w:pPr>
            <w:r w:rsidRPr="00137CA9">
              <w:rPr>
                <w:bCs/>
                <w:i/>
              </w:rPr>
              <w:t>As a team, note exceptions and contraindications to the treatment or medications.</w:t>
            </w:r>
          </w:p>
        </w:tc>
        <w:tc>
          <w:tcPr>
            <w:tcW w:w="0" w:type="pct"/>
            <w:hideMark/>
          </w:tcPr>
          <w:p w14:paraId="729E104E" w14:textId="28C16CA3" w:rsidR="003C380A" w:rsidRPr="00AE595D" w:rsidRDefault="00AA140E" w:rsidP="00AE595D">
            <w:pPr>
              <w:spacing w:after="120" w:line="240" w:lineRule="auto"/>
            </w:pPr>
            <w:r>
              <w:rPr>
                <w:b/>
                <w:bCs/>
              </w:rPr>
              <w:t xml:space="preserve">Other Available Resources </w:t>
            </w:r>
            <w:r w:rsidR="00821582">
              <w:rPr>
                <w:b/>
                <w:bCs/>
              </w:rPr>
              <w:t>and</w:t>
            </w:r>
            <w:r>
              <w:rPr>
                <w:b/>
                <w:bCs/>
              </w:rPr>
              <w:t xml:space="preserve"> Tips </w:t>
            </w:r>
            <w:r w:rsidR="00821582">
              <w:rPr>
                <w:b/>
                <w:bCs/>
              </w:rPr>
              <w:t>T</w:t>
            </w:r>
            <w:r>
              <w:rPr>
                <w:b/>
                <w:bCs/>
              </w:rPr>
              <w:t>o Consider</w:t>
            </w:r>
          </w:p>
        </w:tc>
        <w:tc>
          <w:tcPr>
            <w:tcW w:w="0" w:type="pct"/>
            <w:hideMark/>
          </w:tcPr>
          <w:p w14:paraId="34E46903" w14:textId="77777777" w:rsidR="009C15D7" w:rsidRDefault="009C15D7" w:rsidP="009C15D7">
            <w:pPr>
              <w:spacing w:after="120" w:line="240" w:lineRule="auto"/>
              <w:rPr>
                <w:b/>
                <w:bCs/>
              </w:rPr>
            </w:pPr>
            <w:r w:rsidRPr="00D63FC9">
              <w:rPr>
                <w:b/>
                <w:bCs/>
              </w:rPr>
              <w:t>ISCR Measures</w:t>
            </w:r>
          </w:p>
          <w:p w14:paraId="399D687D" w14:textId="77777777" w:rsidR="003C380A"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AA59B3" w:rsidRPr="00AE595D" w14:paraId="54437CCF" w14:textId="77777777" w:rsidTr="009C7C23">
        <w:trPr>
          <w:cantSplit/>
          <w:trHeight w:val="334"/>
        </w:trPr>
        <w:tc>
          <w:tcPr>
            <w:tcW w:w="0" w:type="pct"/>
            <w:hideMark/>
          </w:tcPr>
          <w:p w14:paraId="2F799885" w14:textId="6002AA2A" w:rsidR="00AA59B3" w:rsidRPr="007D43FC" w:rsidRDefault="007F7E50" w:rsidP="00AE595D">
            <w:pPr>
              <w:spacing w:after="120" w:line="240" w:lineRule="auto"/>
              <w:ind w:left="152"/>
              <w:rPr>
                <w:b/>
              </w:rPr>
            </w:pPr>
            <w:r w:rsidRPr="007D43FC">
              <w:rPr>
                <w:b/>
              </w:rPr>
              <w:t>All Non</w:t>
            </w:r>
            <w:r w:rsidR="00821582">
              <w:rPr>
                <w:b/>
              </w:rPr>
              <w:t>e</w:t>
            </w:r>
            <w:r w:rsidR="00490C04" w:rsidRPr="007D43FC">
              <w:rPr>
                <w:b/>
              </w:rPr>
              <w:t>mergen</w:t>
            </w:r>
            <w:r w:rsidR="00490C04">
              <w:rPr>
                <w:b/>
              </w:rPr>
              <w:t>cy</w:t>
            </w:r>
            <w:r w:rsidR="00490C04" w:rsidRPr="007D43FC">
              <w:rPr>
                <w:b/>
              </w:rPr>
              <w:t xml:space="preserve"> </w:t>
            </w:r>
            <w:r w:rsidR="004F6155" w:rsidRPr="007D43FC">
              <w:rPr>
                <w:b/>
              </w:rPr>
              <w:t xml:space="preserve">ISCR </w:t>
            </w:r>
            <w:r w:rsidRPr="007D43FC">
              <w:rPr>
                <w:b/>
              </w:rPr>
              <w:t>Pathways</w:t>
            </w:r>
          </w:p>
        </w:tc>
        <w:tc>
          <w:tcPr>
            <w:tcW w:w="0" w:type="pct"/>
          </w:tcPr>
          <w:p w14:paraId="66DCEBB3" w14:textId="77777777" w:rsidR="00AA59B3" w:rsidRPr="00AE595D" w:rsidRDefault="00AA59B3" w:rsidP="00AE595D">
            <w:pPr>
              <w:spacing w:after="120" w:line="240" w:lineRule="auto"/>
              <w:rPr>
                <w:b/>
                <w:bCs/>
              </w:rPr>
            </w:pPr>
            <w:r w:rsidRPr="00AE595D">
              <w:rPr>
                <w:b/>
                <w:bCs/>
              </w:rPr>
              <w:t>Carbohydrate Loading</w:t>
            </w:r>
          </w:p>
        </w:tc>
        <w:tc>
          <w:tcPr>
            <w:tcW w:w="0" w:type="pct"/>
          </w:tcPr>
          <w:p w14:paraId="444B1382" w14:textId="77777777" w:rsidR="00AA59B3" w:rsidRPr="007D43FC" w:rsidRDefault="00AA59B3" w:rsidP="00AE595D">
            <w:pPr>
              <w:spacing w:after="120" w:line="240" w:lineRule="auto"/>
              <w:rPr>
                <w:b/>
                <w:color w:val="000000"/>
              </w:rPr>
            </w:pPr>
            <w:r w:rsidRPr="007D43FC">
              <w:rPr>
                <w:b/>
                <w:color w:val="000000"/>
              </w:rPr>
              <w:t>Choose your approach:</w:t>
            </w:r>
          </w:p>
          <w:p w14:paraId="0F384822" w14:textId="77777777" w:rsidR="00AA59B3" w:rsidRDefault="00AA59B3" w:rsidP="007F7E50">
            <w:pPr>
              <w:pStyle w:val="ListParagraph"/>
              <w:numPr>
                <w:ilvl w:val="0"/>
                <w:numId w:val="20"/>
              </w:numPr>
              <w:spacing w:after="120" w:line="240" w:lineRule="auto"/>
              <w:contextualSpacing w:val="0"/>
              <w:rPr>
                <w:color w:val="000000"/>
              </w:rPr>
            </w:pPr>
            <w:r w:rsidRPr="00AE595D">
              <w:rPr>
                <w:color w:val="000000"/>
              </w:rPr>
              <w:t>Drink: choose one: sports, nutritional or fruit drink</w:t>
            </w:r>
          </w:p>
          <w:p w14:paraId="7D33F506" w14:textId="4C96E1DA" w:rsidR="00AA59B3" w:rsidRPr="00AE595D" w:rsidRDefault="007F7E50" w:rsidP="00526834">
            <w:pPr>
              <w:pStyle w:val="ListParagraph"/>
              <w:numPr>
                <w:ilvl w:val="0"/>
                <w:numId w:val="20"/>
              </w:numPr>
              <w:spacing w:after="120" w:line="240" w:lineRule="auto"/>
              <w:contextualSpacing w:val="0"/>
              <w:rPr>
                <w:rFonts w:eastAsia="Times New Roman" w:cs="Times New Roman"/>
                <w:color w:val="000000"/>
              </w:rPr>
            </w:pPr>
            <w:r w:rsidRPr="007F7E50">
              <w:rPr>
                <w:color w:val="000000"/>
              </w:rPr>
              <w:t xml:space="preserve">If time allows </w:t>
            </w:r>
            <w:r w:rsidR="001447C4">
              <w:rPr>
                <w:color w:val="000000"/>
              </w:rPr>
              <w:t>be</w:t>
            </w:r>
            <w:r w:rsidRPr="007F7E50">
              <w:rPr>
                <w:color w:val="000000"/>
              </w:rPr>
              <w:t>for</w:t>
            </w:r>
            <w:r w:rsidR="001447C4">
              <w:rPr>
                <w:color w:val="000000"/>
              </w:rPr>
              <w:t>e</w:t>
            </w:r>
            <w:r w:rsidRPr="007F7E50">
              <w:rPr>
                <w:color w:val="000000"/>
              </w:rPr>
              <w:t xml:space="preserve"> emergen</w:t>
            </w:r>
            <w:r w:rsidR="00490C04">
              <w:rPr>
                <w:color w:val="000000"/>
              </w:rPr>
              <w:t>cy</w:t>
            </w:r>
            <w:r w:rsidRPr="007F7E50">
              <w:rPr>
                <w:color w:val="000000"/>
              </w:rPr>
              <w:t xml:space="preserve"> procedures, follow guidance above</w:t>
            </w:r>
          </w:p>
        </w:tc>
        <w:tc>
          <w:tcPr>
            <w:tcW w:w="0" w:type="pct"/>
          </w:tcPr>
          <w:p w14:paraId="4D4BDB9E" w14:textId="4C07B0C5" w:rsidR="00AA59B3" w:rsidRPr="00AE595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821582">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723520BA" w14:textId="6968A4F4" w:rsidR="00AA59B3" w:rsidRPr="00AE595D" w:rsidRDefault="003023A5" w:rsidP="00AE595D">
            <w:pPr>
              <w:spacing w:after="120" w:line="240" w:lineRule="auto"/>
            </w:pPr>
            <w:r>
              <w:rPr>
                <w:rFonts w:eastAsia="Times New Roman" w:cs="Times New Roman"/>
                <w:b/>
                <w:color w:val="000000"/>
              </w:rPr>
              <w:t>Tip</w:t>
            </w:r>
            <w:r w:rsidR="00AA59B3" w:rsidRPr="00AE595D">
              <w:rPr>
                <w:rFonts w:eastAsia="Times New Roman" w:cs="Times New Roman"/>
                <w:color w:val="000000"/>
              </w:rPr>
              <w:t xml:space="preserve">: </w:t>
            </w:r>
            <w:r w:rsidR="00AA59B3" w:rsidRPr="00AE595D">
              <w:t>Drinks</w:t>
            </w:r>
            <w:r w:rsidR="007E2441">
              <w:t xml:space="preserve"> with high sugar content</w:t>
            </w:r>
            <w:r w:rsidR="00AA59B3" w:rsidRPr="00AE595D">
              <w:t xml:space="preserve"> should not be provided to patients with diabetes</w:t>
            </w:r>
            <w:r w:rsidR="008A4CA8">
              <w:t>.</w:t>
            </w:r>
          </w:p>
          <w:p w14:paraId="7B3561B9" w14:textId="365594F4" w:rsidR="00AA59B3" w:rsidRPr="00AE595D" w:rsidRDefault="003023A5" w:rsidP="00AE595D">
            <w:pPr>
              <w:spacing w:after="120" w:line="240" w:lineRule="auto"/>
            </w:pPr>
            <w:r>
              <w:rPr>
                <w:b/>
              </w:rPr>
              <w:t>Tip</w:t>
            </w:r>
            <w:r w:rsidR="00AA59B3" w:rsidRPr="00AE595D">
              <w:t>: Ensure drink volume instructions</w:t>
            </w:r>
            <w:r w:rsidR="00B43299">
              <w:t xml:space="preserve"> are</w:t>
            </w:r>
            <w:r w:rsidR="00AA59B3" w:rsidRPr="00AE595D">
              <w:t xml:space="preserve"> harmonized with institution policy</w:t>
            </w:r>
            <w:r w:rsidR="008A4CA8">
              <w:t>.</w:t>
            </w:r>
          </w:p>
          <w:p w14:paraId="49F2F49C" w14:textId="77777777" w:rsidR="00AA59B3" w:rsidRPr="00AE595D" w:rsidRDefault="00AA59B3" w:rsidP="00AE595D">
            <w:pPr>
              <w:spacing w:after="120" w:line="240" w:lineRule="auto"/>
              <w:rPr>
                <w:rFonts w:eastAsia="Times New Roman" w:cs="Times New Roman"/>
                <w:color w:val="000000"/>
              </w:rPr>
            </w:pPr>
          </w:p>
        </w:tc>
        <w:tc>
          <w:tcPr>
            <w:tcW w:w="0" w:type="pct"/>
          </w:tcPr>
          <w:p w14:paraId="089EEF00" w14:textId="5DDD5028" w:rsidR="00AA59B3" w:rsidRPr="00D033DE" w:rsidRDefault="00D033DE" w:rsidP="00D033DE">
            <w:pPr>
              <w:spacing w:after="120" w:line="240" w:lineRule="auto"/>
              <w:rPr>
                <w:rFonts w:eastAsia="Times New Roman" w:cs="Times New Roman"/>
                <w:i/>
              </w:rPr>
            </w:pPr>
            <w:r w:rsidRPr="00D033DE">
              <w:rPr>
                <w:rFonts w:eastAsia="Times New Roman" w:cs="Times New Roman"/>
                <w:i/>
              </w:rPr>
              <w:t xml:space="preserve">Enter </w:t>
            </w:r>
            <w:r w:rsidR="00821582">
              <w:rPr>
                <w:rFonts w:eastAsia="Times New Roman" w:cs="Times New Roman"/>
                <w:i/>
              </w:rPr>
              <w:t xml:space="preserve">ISCR measures </w:t>
            </w:r>
            <w:r w:rsidRPr="00D033DE">
              <w:rPr>
                <w:rFonts w:eastAsia="Times New Roman" w:cs="Times New Roman"/>
                <w:i/>
              </w:rPr>
              <w:t>here</w:t>
            </w:r>
          </w:p>
        </w:tc>
      </w:tr>
    </w:tbl>
    <w:p w14:paraId="558C94EF" w14:textId="77777777" w:rsidR="00821582" w:rsidRDefault="00821582" w:rsidP="00821582">
      <w:pPr>
        <w:spacing w:after="120" w:line="240" w:lineRule="auto"/>
        <w:ind w:left="180" w:hanging="180"/>
      </w:pPr>
      <w:r w:rsidRPr="00AE595D">
        <w:t>Abbreviations:</w:t>
      </w:r>
      <w:r>
        <w:t xml:space="preserve"> ISCR = Improving Surgical Care and Recovery</w:t>
      </w:r>
    </w:p>
    <w:p w14:paraId="3C17F8AD" w14:textId="77777777" w:rsidR="00B15E3E" w:rsidRDefault="00B15E3E" w:rsidP="000A5AE2">
      <w:pPr>
        <w:pStyle w:val="Section2Title"/>
      </w:pPr>
    </w:p>
    <w:p w14:paraId="7EABD8C4" w14:textId="77777777" w:rsidR="00B15E3E" w:rsidRDefault="00B15E3E">
      <w:pPr>
        <w:spacing w:after="160" w:line="259" w:lineRule="auto"/>
        <w:ind w:left="360" w:hanging="360"/>
        <w:rPr>
          <w:b/>
          <w:bCs/>
          <w:sz w:val="28"/>
          <w:szCs w:val="28"/>
        </w:rPr>
      </w:pPr>
      <w:r>
        <w:br w:type="page"/>
      </w:r>
    </w:p>
    <w:p w14:paraId="21A7C1D4" w14:textId="77777777" w:rsidR="000A5AE2" w:rsidRDefault="005A6A31">
      <w:pPr>
        <w:pStyle w:val="Heading2"/>
      </w:pPr>
      <w:bookmarkStart w:id="14" w:name="_Toc117000798"/>
      <w:r w:rsidRPr="00AE595D">
        <w:lastRenderedPageBreak/>
        <w:t>Preoperative</w:t>
      </w:r>
      <w:r w:rsidR="000A5AE2">
        <w:t xml:space="preserve"> </w:t>
      </w:r>
      <w:r w:rsidR="000A5AE2" w:rsidRPr="00AE595D">
        <w:t>Glycemic Control</w:t>
      </w:r>
      <w:bookmarkEnd w:id="14"/>
    </w:p>
    <w:p w14:paraId="3BC3A7C6" w14:textId="01A44026" w:rsidR="00FF3157" w:rsidRDefault="00580D30" w:rsidP="009F40B9">
      <w:pPr>
        <w:pStyle w:val="BodyText1"/>
      </w:pPr>
      <w:r>
        <w:t>To prevent hyperglycemia, g</w:t>
      </w:r>
      <w:r w:rsidR="00B15E3E">
        <w:t>lucose control should be considered in all patients regardless of diabetic status, beginning in the immediate preoperative period and continuing until discharge</w:t>
      </w:r>
      <w:r>
        <w:t>.</w:t>
      </w:r>
      <w:r w:rsidR="00B15E3E">
        <w:t xml:space="preserve"> Hyperglycemia is prevalent in both diabetic and nondiabetic hospitalized patients and has been associated with surgical site infections and complications. A 2017 Centers for Disease Control and Prevention guideline recommends target blood glucose levels</w:t>
      </w:r>
      <w:r w:rsidR="0008525F">
        <w:t xml:space="preserve"> of</w:t>
      </w:r>
      <w:r w:rsidR="00B15E3E">
        <w:t xml:space="preserve"> less than </w:t>
      </w:r>
      <w:r w:rsidR="00B15E3E" w:rsidRPr="00EF7BE3">
        <w:t>200 mg/dL</w:t>
      </w:r>
      <w:r w:rsidR="00E455D9">
        <w:t xml:space="preserve"> for all surgical procedures</w:t>
      </w:r>
      <w:r w:rsidR="0037447A">
        <w:t>.</w:t>
      </w:r>
      <w:r w:rsidR="00B15E3E" w:rsidRPr="00890EAD">
        <w:rPr>
          <w:vertAlign w:val="superscript"/>
        </w:rPr>
        <w:t>1</w:t>
      </w:r>
      <w:r w:rsidR="00B15E3E">
        <w:t xml:space="preserve"> </w:t>
      </w:r>
      <w:r w:rsidR="00265A6C">
        <w:t>O</w:t>
      </w:r>
      <w:r w:rsidR="00B15E3E">
        <w:t>ther organizations have included consideration of observational evidence and made recommendations for lower targets.</w:t>
      </w:r>
      <w:r w:rsidR="00265A6C" w:rsidRPr="00890EAD">
        <w:rPr>
          <w:vertAlign w:val="superscript"/>
        </w:rPr>
        <w:t>2</w:t>
      </w:r>
      <w:r w:rsidR="00B15E3E">
        <w:t xml:space="preserve"> </w:t>
      </w:r>
    </w:p>
    <w:p w14:paraId="5C0834E3" w14:textId="69398D42" w:rsidR="00B15E3E" w:rsidRPr="00AE595D" w:rsidRDefault="00B15E3E" w:rsidP="009F40B9">
      <w:pPr>
        <w:pStyle w:val="BodyText1"/>
        <w:rPr>
          <w:b/>
        </w:rPr>
      </w:pPr>
      <w:r w:rsidRPr="00A466F9">
        <w:rPr>
          <w:i/>
        </w:rPr>
        <w:t xml:space="preserve">Considerations for </w:t>
      </w:r>
      <w:r w:rsidR="00EF7BE3" w:rsidRPr="00A466F9">
        <w:rPr>
          <w:i/>
        </w:rPr>
        <w:t>gynecolog</w:t>
      </w:r>
      <w:r w:rsidR="00EF7BE3">
        <w:rPr>
          <w:i/>
        </w:rPr>
        <w:t>ic</w:t>
      </w:r>
      <w:r w:rsidR="00EF7BE3" w:rsidRPr="00A466F9">
        <w:rPr>
          <w:i/>
        </w:rPr>
        <w:t xml:space="preserve"> </w:t>
      </w:r>
      <w:r w:rsidRPr="00A466F9">
        <w:rPr>
          <w:i/>
        </w:rPr>
        <w:t>procedures</w:t>
      </w:r>
      <w:r>
        <w:t>: Review of guidelines and recent evidence relevant to gynecologic surgery identified targets ≤180-200 mg/</w:t>
      </w:r>
      <w:r w:rsidRPr="0019570D">
        <w:t>dL.</w:t>
      </w:r>
      <w:r w:rsidR="00265A6C">
        <w:rPr>
          <w:vertAlign w:val="superscript"/>
        </w:rPr>
        <w:t>3</w:t>
      </w:r>
    </w:p>
    <w:tbl>
      <w:tblPr>
        <w:tblStyle w:val="GridTable1Light1"/>
        <w:tblW w:w="5000" w:type="pct"/>
        <w:tblLook w:val="0600" w:firstRow="0" w:lastRow="0" w:firstColumn="0" w:lastColumn="0" w:noHBand="1" w:noVBand="1"/>
      </w:tblPr>
      <w:tblGrid>
        <w:gridCol w:w="3496"/>
        <w:gridCol w:w="3532"/>
        <w:gridCol w:w="4336"/>
        <w:gridCol w:w="4006"/>
        <w:gridCol w:w="4047"/>
        <w:gridCol w:w="3613"/>
      </w:tblGrid>
      <w:tr w:rsidR="00707C3C" w:rsidRPr="00AE595D" w14:paraId="1CEE2138" w14:textId="77777777" w:rsidTr="009C7C23">
        <w:trPr>
          <w:cantSplit/>
          <w:trHeight w:val="973"/>
          <w:tblHeader/>
        </w:trPr>
        <w:tc>
          <w:tcPr>
            <w:tcW w:w="0" w:type="pct"/>
            <w:hideMark/>
          </w:tcPr>
          <w:p w14:paraId="41E1E020" w14:textId="5FED0B32" w:rsidR="00707C3C" w:rsidRPr="00AE595D" w:rsidRDefault="00707C3C" w:rsidP="00AE595D">
            <w:pPr>
              <w:spacing w:after="120" w:line="240" w:lineRule="auto"/>
              <w:ind w:left="152"/>
            </w:pPr>
            <w:r w:rsidRPr="00AE595D">
              <w:rPr>
                <w:b/>
                <w:bCs/>
              </w:rPr>
              <w:t xml:space="preserve">Pathway </w:t>
            </w:r>
          </w:p>
        </w:tc>
        <w:tc>
          <w:tcPr>
            <w:tcW w:w="0" w:type="pct"/>
            <w:hideMark/>
          </w:tcPr>
          <w:p w14:paraId="1160088A" w14:textId="77777777" w:rsidR="00707C3C" w:rsidRPr="00AE595D" w:rsidRDefault="00707C3C" w:rsidP="00AE595D">
            <w:pPr>
              <w:spacing w:after="120" w:line="240" w:lineRule="auto"/>
              <w:rPr>
                <w:b/>
                <w:bCs/>
              </w:rPr>
            </w:pPr>
            <w:r w:rsidRPr="00AE595D">
              <w:rPr>
                <w:b/>
                <w:bCs/>
              </w:rPr>
              <w:t>Component</w:t>
            </w:r>
          </w:p>
        </w:tc>
        <w:tc>
          <w:tcPr>
            <w:tcW w:w="0" w:type="pct"/>
            <w:hideMark/>
          </w:tcPr>
          <w:p w14:paraId="2C34529A" w14:textId="153D9433" w:rsidR="00137CA9" w:rsidRDefault="00707C3C" w:rsidP="00AE595D">
            <w:pPr>
              <w:spacing w:after="120" w:line="240" w:lineRule="auto"/>
              <w:rPr>
                <w:b/>
                <w:bCs/>
              </w:rPr>
            </w:pPr>
            <w:r w:rsidRPr="00AE595D">
              <w:rPr>
                <w:b/>
                <w:bCs/>
              </w:rPr>
              <w:t xml:space="preserve">Example Processes </w:t>
            </w:r>
            <w:r w:rsidR="0037447A">
              <w:rPr>
                <w:b/>
                <w:bCs/>
              </w:rPr>
              <w:t>T</w:t>
            </w:r>
            <w:r w:rsidRPr="00AE595D">
              <w:rPr>
                <w:b/>
                <w:bCs/>
              </w:rPr>
              <w:t>o Consider</w:t>
            </w:r>
          </w:p>
          <w:p w14:paraId="6E51A7D2" w14:textId="77777777" w:rsidR="00707C3C" w:rsidRPr="00137CA9" w:rsidRDefault="00707C3C" w:rsidP="00AE595D">
            <w:pPr>
              <w:spacing w:after="120" w:line="240" w:lineRule="auto"/>
            </w:pPr>
            <w:r w:rsidRPr="00137CA9">
              <w:rPr>
                <w:bCs/>
                <w:i/>
              </w:rPr>
              <w:t>As a team, go through each component and discuss what approach best fits your hospital. It may be an option other than what is listed below.</w:t>
            </w:r>
          </w:p>
        </w:tc>
        <w:tc>
          <w:tcPr>
            <w:tcW w:w="0" w:type="pct"/>
            <w:hideMark/>
          </w:tcPr>
          <w:p w14:paraId="4DA0273D" w14:textId="77777777" w:rsidR="00707C3C" w:rsidRPr="00AE595D" w:rsidRDefault="00707C3C" w:rsidP="00AE595D">
            <w:pPr>
              <w:spacing w:after="120" w:line="240" w:lineRule="auto"/>
            </w:pPr>
            <w:r w:rsidRPr="00AE595D">
              <w:rPr>
                <w:b/>
                <w:bCs/>
              </w:rPr>
              <w:t>Team Decisions/Notes</w:t>
            </w:r>
          </w:p>
          <w:p w14:paraId="140E240F" w14:textId="77777777" w:rsidR="00707C3C" w:rsidRPr="00137CA9" w:rsidRDefault="00707C3C" w:rsidP="00AE595D">
            <w:pPr>
              <w:spacing w:after="120" w:line="240" w:lineRule="auto"/>
              <w:rPr>
                <w:i/>
              </w:rPr>
            </w:pPr>
            <w:r w:rsidRPr="00137CA9">
              <w:rPr>
                <w:bCs/>
                <w:i/>
              </w:rPr>
              <w:t>As a team, note exceptions and contraindications to the treatment or medications.</w:t>
            </w:r>
          </w:p>
        </w:tc>
        <w:tc>
          <w:tcPr>
            <w:tcW w:w="0" w:type="pct"/>
            <w:hideMark/>
          </w:tcPr>
          <w:p w14:paraId="7D89FF34" w14:textId="084336D7" w:rsidR="00707C3C" w:rsidRPr="00AE595D" w:rsidRDefault="00AA140E" w:rsidP="00AE595D">
            <w:pPr>
              <w:spacing w:after="120" w:line="240" w:lineRule="auto"/>
            </w:pPr>
            <w:r>
              <w:rPr>
                <w:b/>
                <w:bCs/>
              </w:rPr>
              <w:t xml:space="preserve">Other Available Resources </w:t>
            </w:r>
            <w:r w:rsidR="0037447A">
              <w:rPr>
                <w:b/>
                <w:bCs/>
              </w:rPr>
              <w:t>and</w:t>
            </w:r>
            <w:r>
              <w:rPr>
                <w:b/>
                <w:bCs/>
              </w:rPr>
              <w:t xml:space="preserve"> Tips </w:t>
            </w:r>
            <w:r w:rsidR="0037447A">
              <w:rPr>
                <w:b/>
                <w:bCs/>
              </w:rPr>
              <w:t>T</w:t>
            </w:r>
            <w:r>
              <w:rPr>
                <w:b/>
                <w:bCs/>
              </w:rPr>
              <w:t>o Consider</w:t>
            </w:r>
          </w:p>
        </w:tc>
        <w:tc>
          <w:tcPr>
            <w:tcW w:w="0" w:type="pct"/>
            <w:hideMark/>
          </w:tcPr>
          <w:p w14:paraId="32107117" w14:textId="77777777" w:rsidR="009C15D7" w:rsidRDefault="009C15D7" w:rsidP="009C15D7">
            <w:pPr>
              <w:spacing w:after="120" w:line="240" w:lineRule="auto"/>
              <w:rPr>
                <w:b/>
                <w:bCs/>
              </w:rPr>
            </w:pPr>
            <w:r w:rsidRPr="00D63FC9">
              <w:rPr>
                <w:b/>
                <w:bCs/>
              </w:rPr>
              <w:t>ISCR Measures</w:t>
            </w:r>
          </w:p>
          <w:p w14:paraId="3BCF5B4B" w14:textId="77777777" w:rsidR="00707C3C"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5956DE" w:rsidRPr="00AE595D" w14:paraId="2B7E3276" w14:textId="77777777" w:rsidTr="009C7C23">
        <w:trPr>
          <w:cantSplit/>
          <w:trHeight w:val="334"/>
        </w:trPr>
        <w:tc>
          <w:tcPr>
            <w:tcW w:w="0" w:type="pct"/>
            <w:hideMark/>
          </w:tcPr>
          <w:p w14:paraId="767D1411" w14:textId="77777777" w:rsidR="005956DE" w:rsidRPr="007D43FC" w:rsidRDefault="00AD23D9" w:rsidP="00AE595D">
            <w:pPr>
              <w:spacing w:after="120" w:line="240" w:lineRule="auto"/>
              <w:ind w:left="152"/>
              <w:rPr>
                <w:b/>
              </w:rPr>
            </w:pPr>
            <w:r>
              <w:rPr>
                <w:b/>
              </w:rPr>
              <w:t>All</w:t>
            </w:r>
            <w:r w:rsidR="007F7E50" w:rsidRPr="007D43FC">
              <w:rPr>
                <w:b/>
              </w:rPr>
              <w:t xml:space="preserve"> </w:t>
            </w:r>
            <w:r w:rsidR="004F6155" w:rsidRPr="007D43FC">
              <w:rPr>
                <w:b/>
              </w:rPr>
              <w:t xml:space="preserve">ISCR </w:t>
            </w:r>
            <w:r w:rsidR="007F7E50" w:rsidRPr="007D43FC">
              <w:rPr>
                <w:b/>
              </w:rPr>
              <w:t>pathways</w:t>
            </w:r>
          </w:p>
        </w:tc>
        <w:tc>
          <w:tcPr>
            <w:tcW w:w="0" w:type="pct"/>
          </w:tcPr>
          <w:p w14:paraId="3777CF41" w14:textId="77777777" w:rsidR="005956DE" w:rsidRPr="00AE595D" w:rsidRDefault="005956DE" w:rsidP="00AE595D">
            <w:pPr>
              <w:spacing w:after="120" w:line="240" w:lineRule="auto"/>
              <w:rPr>
                <w:b/>
                <w:bCs/>
              </w:rPr>
            </w:pPr>
            <w:r w:rsidRPr="00AE595D">
              <w:rPr>
                <w:b/>
                <w:bCs/>
              </w:rPr>
              <w:t>Glycemic Control</w:t>
            </w:r>
          </w:p>
        </w:tc>
        <w:tc>
          <w:tcPr>
            <w:tcW w:w="0" w:type="pct"/>
          </w:tcPr>
          <w:p w14:paraId="0A56CCDB" w14:textId="77777777" w:rsidR="005956DE" w:rsidRPr="007D43FC" w:rsidRDefault="005956DE" w:rsidP="00AE595D">
            <w:pPr>
              <w:spacing w:after="120" w:line="240" w:lineRule="auto"/>
              <w:rPr>
                <w:rFonts w:eastAsia="Times New Roman" w:cs="Times New Roman"/>
                <w:b/>
                <w:color w:val="000000"/>
              </w:rPr>
            </w:pPr>
            <w:r w:rsidRPr="007D43FC">
              <w:rPr>
                <w:rFonts w:eastAsia="Times New Roman" w:cs="Times New Roman"/>
                <w:b/>
                <w:color w:val="000000"/>
              </w:rPr>
              <w:t>Recommended approach:</w:t>
            </w:r>
          </w:p>
          <w:p w14:paraId="3EFD91AD" w14:textId="77777777" w:rsidR="005956DE" w:rsidRPr="00AE595D" w:rsidRDefault="005956DE" w:rsidP="007F7E50">
            <w:pPr>
              <w:pStyle w:val="ListParagraph"/>
              <w:numPr>
                <w:ilvl w:val="0"/>
                <w:numId w:val="3"/>
              </w:numPr>
              <w:spacing w:after="120" w:line="240" w:lineRule="auto"/>
              <w:contextualSpacing w:val="0"/>
              <w:rPr>
                <w:rFonts w:eastAsia="Times New Roman" w:cs="Times New Roman"/>
                <w:color w:val="000000"/>
              </w:rPr>
            </w:pPr>
            <w:r w:rsidRPr="00AE595D">
              <w:rPr>
                <w:rFonts w:eastAsia="Times New Roman" w:cs="Times New Roman"/>
                <w:color w:val="000000"/>
              </w:rPr>
              <w:t>Check glucose in preoperative area</w:t>
            </w:r>
            <w:r w:rsidR="00E455D9">
              <w:rPr>
                <w:rFonts w:eastAsia="Times New Roman" w:cs="Times New Roman"/>
                <w:color w:val="000000"/>
              </w:rPr>
              <w:t>, per your institution’s guidelines</w:t>
            </w:r>
          </w:p>
          <w:p w14:paraId="20CA6275" w14:textId="77777777" w:rsidR="007F7E50" w:rsidRPr="00AE595D" w:rsidRDefault="007F7E50" w:rsidP="009F40B9">
            <w:pPr>
              <w:pStyle w:val="ListParagraph"/>
              <w:spacing w:after="120" w:line="240" w:lineRule="auto"/>
              <w:contextualSpacing w:val="0"/>
              <w:rPr>
                <w:rFonts w:eastAsia="Times New Roman" w:cs="Times New Roman"/>
                <w:color w:val="000000"/>
              </w:rPr>
            </w:pPr>
          </w:p>
        </w:tc>
        <w:tc>
          <w:tcPr>
            <w:tcW w:w="0" w:type="pct"/>
          </w:tcPr>
          <w:p w14:paraId="0F2FD65C" w14:textId="42EE3109" w:rsidR="005956DE" w:rsidRPr="00AE595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37447A">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393F2F36" w14:textId="159B840A" w:rsidR="005956DE"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5956DE" w:rsidRPr="00AE595D">
              <w:rPr>
                <w:rFonts w:eastAsia="Times New Roman" w:cs="Times New Roman"/>
                <w:b/>
                <w:color w:val="000000"/>
              </w:rPr>
              <w:t>:</w:t>
            </w:r>
            <w:r w:rsidR="005956DE" w:rsidRPr="00AE595D">
              <w:rPr>
                <w:rFonts w:eastAsia="Times New Roman" w:cs="Times New Roman"/>
                <w:color w:val="000000"/>
              </w:rPr>
              <w:t xml:space="preserve"> </w:t>
            </w:r>
            <w:r w:rsidR="00356A5A" w:rsidRPr="00AE595D">
              <w:rPr>
                <w:rFonts w:eastAsia="Times New Roman" w:cs="Times New Roman"/>
                <w:color w:val="000000"/>
              </w:rPr>
              <w:t xml:space="preserve">If your hospital chooses to implement a perioperative glucose </w:t>
            </w:r>
            <w:r w:rsidR="0008525F">
              <w:rPr>
                <w:rFonts w:eastAsia="Times New Roman" w:cs="Times New Roman"/>
                <w:color w:val="000000"/>
              </w:rPr>
              <w:t xml:space="preserve">control </w:t>
            </w:r>
            <w:r w:rsidR="00356A5A" w:rsidRPr="00AE595D">
              <w:rPr>
                <w:rFonts w:eastAsia="Times New Roman" w:cs="Times New Roman"/>
                <w:color w:val="000000"/>
              </w:rPr>
              <w:t xml:space="preserve">protocol, look for </w:t>
            </w:r>
            <w:r w:rsidR="00137CA9">
              <w:rPr>
                <w:rFonts w:eastAsia="Times New Roman" w:cs="Times New Roman"/>
                <w:color w:val="000000"/>
              </w:rPr>
              <w:t xml:space="preserve">evidence-based </w:t>
            </w:r>
            <w:r w:rsidR="00356A5A" w:rsidRPr="00AE595D">
              <w:rPr>
                <w:rFonts w:eastAsia="Times New Roman" w:cs="Times New Roman"/>
                <w:color w:val="000000"/>
              </w:rPr>
              <w:t>example</w:t>
            </w:r>
            <w:r w:rsidR="00137CA9">
              <w:rPr>
                <w:rFonts w:eastAsia="Times New Roman" w:cs="Times New Roman"/>
                <w:color w:val="000000"/>
              </w:rPr>
              <w:t>s</w:t>
            </w:r>
            <w:r w:rsidR="00356A5A" w:rsidRPr="00AE595D">
              <w:rPr>
                <w:rFonts w:eastAsia="Times New Roman" w:cs="Times New Roman"/>
                <w:color w:val="000000"/>
              </w:rPr>
              <w:t>. Also, make sure that you involve your hospital endocrinologists, anesthesiologists</w:t>
            </w:r>
            <w:r w:rsidR="0037447A">
              <w:rPr>
                <w:rFonts w:eastAsia="Times New Roman" w:cs="Times New Roman"/>
                <w:color w:val="000000"/>
              </w:rPr>
              <w:t>,</w:t>
            </w:r>
            <w:r w:rsidR="00356A5A" w:rsidRPr="00AE595D">
              <w:rPr>
                <w:rFonts w:eastAsia="Times New Roman" w:cs="Times New Roman"/>
                <w:color w:val="000000"/>
              </w:rPr>
              <w:t xml:space="preserve"> perioperative nurses</w:t>
            </w:r>
            <w:r w:rsidR="0037447A">
              <w:rPr>
                <w:rFonts w:eastAsia="Times New Roman" w:cs="Times New Roman"/>
                <w:color w:val="000000"/>
              </w:rPr>
              <w:t>,</w:t>
            </w:r>
            <w:r w:rsidR="00356A5A" w:rsidRPr="00AE595D">
              <w:rPr>
                <w:rFonts w:eastAsia="Times New Roman" w:cs="Times New Roman"/>
                <w:color w:val="000000"/>
              </w:rPr>
              <w:t xml:space="preserve"> and preoperative evaluation clinic. Effective protocols are multidisciplinary and can be compl</w:t>
            </w:r>
            <w:r w:rsidR="00472A26">
              <w:rPr>
                <w:rFonts w:eastAsia="Times New Roman" w:cs="Times New Roman"/>
                <w:color w:val="000000"/>
              </w:rPr>
              <w:t>icated t</w:t>
            </w:r>
            <w:r w:rsidR="00356A5A" w:rsidRPr="00AE595D">
              <w:rPr>
                <w:rFonts w:eastAsia="Times New Roman" w:cs="Times New Roman"/>
                <w:color w:val="000000"/>
              </w:rPr>
              <w:t>o implement.</w:t>
            </w:r>
          </w:p>
          <w:p w14:paraId="4802EF67" w14:textId="70B3070B" w:rsidR="005956DE" w:rsidRPr="00AE595D" w:rsidRDefault="003023A5" w:rsidP="00AE595D">
            <w:pPr>
              <w:spacing w:after="120" w:line="240" w:lineRule="auto"/>
              <w:rPr>
                <w:rFonts w:eastAsia="Times New Roman" w:cs="Times New Roman"/>
                <w:b/>
                <w:color w:val="000000"/>
              </w:rPr>
            </w:pPr>
            <w:r>
              <w:rPr>
                <w:rFonts w:eastAsia="Times New Roman" w:cs="Times New Roman"/>
                <w:b/>
                <w:color w:val="000000"/>
              </w:rPr>
              <w:t>Tip</w:t>
            </w:r>
            <w:r w:rsidR="005956DE" w:rsidRPr="00AE595D">
              <w:rPr>
                <w:rFonts w:eastAsia="Times New Roman" w:cs="Times New Roman"/>
                <w:b/>
                <w:color w:val="000000"/>
              </w:rPr>
              <w:t>:</w:t>
            </w:r>
            <w:r w:rsidR="005956DE" w:rsidRPr="00AE595D">
              <w:rPr>
                <w:rFonts w:eastAsia="Times New Roman" w:cs="Times New Roman"/>
                <w:color w:val="000000"/>
              </w:rPr>
              <w:t xml:space="preserve"> Include sliding scale insulin in order set to help maintain glucose levels</w:t>
            </w:r>
            <w:r w:rsidR="008A4CA8">
              <w:rPr>
                <w:rFonts w:eastAsia="Times New Roman" w:cs="Times New Roman"/>
                <w:color w:val="000000"/>
              </w:rPr>
              <w:t>.</w:t>
            </w:r>
          </w:p>
        </w:tc>
        <w:tc>
          <w:tcPr>
            <w:tcW w:w="0" w:type="pct"/>
          </w:tcPr>
          <w:p w14:paraId="33A71284" w14:textId="57398C56" w:rsidR="005956DE" w:rsidRPr="00D033DE" w:rsidRDefault="00D033DE" w:rsidP="00D033DE">
            <w:pPr>
              <w:spacing w:after="120" w:line="240" w:lineRule="auto"/>
              <w:rPr>
                <w:rFonts w:eastAsia="Times New Roman" w:cs="Times New Roman"/>
                <w:i/>
                <w:color w:val="000000"/>
              </w:rPr>
            </w:pPr>
            <w:r w:rsidRPr="00D033DE">
              <w:rPr>
                <w:rFonts w:eastAsia="Times New Roman" w:cs="Times New Roman"/>
                <w:i/>
                <w:color w:val="000000"/>
              </w:rPr>
              <w:t xml:space="preserve">Enter </w:t>
            </w:r>
            <w:r w:rsidR="0037447A">
              <w:rPr>
                <w:rFonts w:eastAsia="Times New Roman" w:cs="Times New Roman"/>
                <w:i/>
                <w:color w:val="000000"/>
              </w:rPr>
              <w:t xml:space="preserve">ISCR measures </w:t>
            </w:r>
            <w:r w:rsidRPr="00D033DE">
              <w:rPr>
                <w:rFonts w:eastAsia="Times New Roman" w:cs="Times New Roman"/>
                <w:i/>
                <w:color w:val="000000"/>
              </w:rPr>
              <w:t>here</w:t>
            </w:r>
          </w:p>
        </w:tc>
      </w:tr>
    </w:tbl>
    <w:p w14:paraId="15BCED3C" w14:textId="4A13979D" w:rsidR="0037447A" w:rsidRDefault="0037447A" w:rsidP="004D6710">
      <w:pPr>
        <w:spacing w:after="120" w:line="240" w:lineRule="auto"/>
        <w:ind w:left="180" w:hanging="180"/>
      </w:pPr>
      <w:r w:rsidRPr="00AE595D">
        <w:t>Abbreviations:</w:t>
      </w:r>
      <w:r>
        <w:t xml:space="preserve"> ISCR = Improving Surgical Care and Recovery</w:t>
      </w:r>
    </w:p>
    <w:p w14:paraId="2362B0E9" w14:textId="0A253460" w:rsidR="00707C3C" w:rsidRPr="0019570D" w:rsidRDefault="0040010C" w:rsidP="004D6710">
      <w:pPr>
        <w:spacing w:after="120" w:line="240" w:lineRule="auto"/>
        <w:ind w:left="180" w:hanging="180"/>
      </w:pPr>
      <w:r w:rsidRPr="0019570D">
        <w:t xml:space="preserve">1 </w:t>
      </w:r>
      <w:proofErr w:type="spellStart"/>
      <w:r w:rsidRPr="0019570D">
        <w:t>Berríos</w:t>
      </w:r>
      <w:proofErr w:type="spellEnd"/>
      <w:r w:rsidRPr="0019570D">
        <w:t>-Torres SI, Umscheid CA, Bratzler DW, et al. Centers for Disease Control and Prevention Guideline for the Prevention of Surgical Site Infection, 2017. JAMA surgery. 2017;152(8):784-91.</w:t>
      </w:r>
    </w:p>
    <w:p w14:paraId="1C299E88" w14:textId="5056F7F4" w:rsidR="00265A6C" w:rsidRDefault="009F40B9" w:rsidP="004D6710">
      <w:pPr>
        <w:spacing w:after="120" w:line="240" w:lineRule="auto"/>
        <w:ind w:left="180" w:hanging="180"/>
      </w:pPr>
      <w:r w:rsidRPr="0019570D">
        <w:t>2</w:t>
      </w:r>
      <w:r w:rsidR="00265A6C">
        <w:t xml:space="preserve"> </w:t>
      </w:r>
      <w:r w:rsidR="00265A6C" w:rsidRPr="00265A6C">
        <w:t xml:space="preserve">Ware LR, Gilmore JF, </w:t>
      </w:r>
      <w:proofErr w:type="spellStart"/>
      <w:r w:rsidR="00265A6C" w:rsidRPr="00265A6C">
        <w:t>Szumita</w:t>
      </w:r>
      <w:proofErr w:type="spellEnd"/>
      <w:r w:rsidR="00265A6C" w:rsidRPr="00265A6C">
        <w:t xml:space="preserve"> PM. Practical </w:t>
      </w:r>
      <w:r w:rsidR="0037447A" w:rsidRPr="00265A6C">
        <w:t xml:space="preserve">approach </w:t>
      </w:r>
      <w:r w:rsidR="0037447A">
        <w:t>t</w:t>
      </w:r>
      <w:r w:rsidR="0037447A" w:rsidRPr="00265A6C">
        <w:t xml:space="preserve">o clinical controversies </w:t>
      </w:r>
      <w:r w:rsidR="0037447A">
        <w:t>i</w:t>
      </w:r>
      <w:r w:rsidR="0037447A" w:rsidRPr="00265A6C">
        <w:t xml:space="preserve">n glycemic control </w:t>
      </w:r>
      <w:r w:rsidR="0037447A">
        <w:t>f</w:t>
      </w:r>
      <w:r w:rsidR="0037447A" w:rsidRPr="00265A6C">
        <w:t>or hospitalized surgical patients</w:t>
      </w:r>
      <w:r w:rsidR="00265A6C" w:rsidRPr="00265A6C">
        <w:t xml:space="preserve">. </w:t>
      </w:r>
      <w:proofErr w:type="spellStart"/>
      <w:r w:rsidR="00265A6C" w:rsidRPr="00265A6C">
        <w:t>Nutr</w:t>
      </w:r>
      <w:proofErr w:type="spellEnd"/>
      <w:r w:rsidR="00265A6C" w:rsidRPr="00265A6C">
        <w:t xml:space="preserve"> Clin </w:t>
      </w:r>
      <w:proofErr w:type="spellStart"/>
      <w:r w:rsidR="00265A6C" w:rsidRPr="00265A6C">
        <w:t>Pract</w:t>
      </w:r>
      <w:proofErr w:type="spellEnd"/>
      <w:r w:rsidR="00265A6C" w:rsidRPr="00265A6C">
        <w:t xml:space="preserve">. 2022 Jun;37(3):521-35. </w:t>
      </w:r>
      <w:proofErr w:type="spellStart"/>
      <w:r w:rsidR="00265A6C" w:rsidRPr="00265A6C">
        <w:t>doi</w:t>
      </w:r>
      <w:proofErr w:type="spellEnd"/>
      <w:r w:rsidR="00265A6C" w:rsidRPr="00265A6C">
        <w:t xml:space="preserve">: 10.1002/ncp.10858. </w:t>
      </w:r>
      <w:proofErr w:type="spellStart"/>
      <w:r w:rsidR="00265A6C" w:rsidRPr="00265A6C">
        <w:t>Epub</w:t>
      </w:r>
      <w:proofErr w:type="spellEnd"/>
      <w:r w:rsidR="00265A6C" w:rsidRPr="00265A6C">
        <w:t xml:space="preserve"> 2022 Apr 30. PMID: 35490289.</w:t>
      </w:r>
    </w:p>
    <w:p w14:paraId="03B3909D" w14:textId="15E4AD19" w:rsidR="00B15E3E" w:rsidRDefault="00265A6C" w:rsidP="004D6710">
      <w:pPr>
        <w:spacing w:after="120" w:line="240" w:lineRule="auto"/>
        <w:ind w:left="180" w:hanging="180"/>
      </w:pPr>
      <w:r>
        <w:t>3</w:t>
      </w:r>
      <w:r w:rsidR="009F40B9" w:rsidRPr="0019570D">
        <w:t xml:space="preserve"> </w:t>
      </w:r>
      <w:proofErr w:type="spellStart"/>
      <w:r w:rsidR="00D572FE" w:rsidRPr="00D572FE">
        <w:t>Kalogera</w:t>
      </w:r>
      <w:proofErr w:type="spellEnd"/>
      <w:r w:rsidR="00D572FE" w:rsidRPr="00D572FE">
        <w:t xml:space="preserve"> E, Nelson G, Liu J, </w:t>
      </w:r>
      <w:r w:rsidR="00685DE3">
        <w:t>et al</w:t>
      </w:r>
      <w:r w:rsidR="00D572FE" w:rsidRPr="00D572FE">
        <w:t xml:space="preserve">. Surgical </w:t>
      </w:r>
      <w:r w:rsidR="0037447A">
        <w:t>t</w:t>
      </w:r>
      <w:r w:rsidRPr="00D572FE">
        <w:t xml:space="preserve">echnical </w:t>
      </w:r>
      <w:r w:rsidR="0037447A">
        <w:t>e</w:t>
      </w:r>
      <w:r w:rsidRPr="00D572FE">
        <w:t xml:space="preserve">vidence </w:t>
      </w:r>
      <w:r w:rsidR="0037447A">
        <w:t>r</w:t>
      </w:r>
      <w:r w:rsidRPr="00D572FE">
        <w:t xml:space="preserve">eview </w:t>
      </w:r>
      <w:r>
        <w:t>f</w:t>
      </w:r>
      <w:r w:rsidRPr="00D572FE">
        <w:t xml:space="preserve">or </w:t>
      </w:r>
      <w:r w:rsidR="0037447A">
        <w:t>g</w:t>
      </w:r>
      <w:r w:rsidRPr="00D572FE">
        <w:t xml:space="preserve">ynecologic </w:t>
      </w:r>
      <w:r w:rsidR="0037447A">
        <w:t>s</w:t>
      </w:r>
      <w:r w:rsidRPr="00D572FE">
        <w:t xml:space="preserve">urgery </w:t>
      </w:r>
      <w:r w:rsidR="0037447A">
        <w:t>c</w:t>
      </w:r>
      <w:r w:rsidRPr="00D572FE">
        <w:t>onducted</w:t>
      </w:r>
      <w:r w:rsidR="00D572FE" w:rsidRPr="00D572FE">
        <w:t xml:space="preserve"> for the Agency for Healthcare Research and Quality Safety Program for Improving Surgical Care and Recovery. Am J </w:t>
      </w:r>
      <w:proofErr w:type="spellStart"/>
      <w:r w:rsidR="00D572FE" w:rsidRPr="00D572FE">
        <w:t>Obstet</w:t>
      </w:r>
      <w:proofErr w:type="spellEnd"/>
      <w:r w:rsidR="00D572FE" w:rsidRPr="00D572FE">
        <w:t xml:space="preserve"> Gynecol. 2018 Dec;219(6):563.e1-563.e19. </w:t>
      </w:r>
      <w:proofErr w:type="spellStart"/>
      <w:r w:rsidR="00D572FE" w:rsidRPr="00D572FE">
        <w:t>doi</w:t>
      </w:r>
      <w:proofErr w:type="spellEnd"/>
      <w:r w:rsidR="00D572FE" w:rsidRPr="00D572FE">
        <w:t xml:space="preserve">: 10.1016/j.ajog.2018.07.014. </w:t>
      </w:r>
      <w:proofErr w:type="spellStart"/>
      <w:r w:rsidR="00D572FE" w:rsidRPr="00D572FE">
        <w:t>Epub</w:t>
      </w:r>
      <w:proofErr w:type="spellEnd"/>
      <w:r w:rsidR="00D572FE" w:rsidRPr="00D572FE">
        <w:t xml:space="preserve"> 2018 Jul 19. PMID: 30031749.</w:t>
      </w:r>
      <w:r w:rsidR="00D572FE" w:rsidRPr="00D572FE">
        <w:rPr>
          <w:b/>
        </w:rPr>
        <w:t xml:space="preserve"> </w:t>
      </w:r>
    </w:p>
    <w:p w14:paraId="1ABF9C46" w14:textId="77777777" w:rsidR="00B15E3E" w:rsidRDefault="00B15E3E" w:rsidP="00AE595D">
      <w:pPr>
        <w:spacing w:after="120" w:line="240" w:lineRule="auto"/>
      </w:pPr>
    </w:p>
    <w:p w14:paraId="43DAD69D" w14:textId="77777777" w:rsidR="00E455D9" w:rsidRDefault="00E455D9">
      <w:pPr>
        <w:spacing w:after="160" w:line="259" w:lineRule="auto"/>
        <w:ind w:left="360" w:hanging="360"/>
        <w:rPr>
          <w:b/>
          <w:bCs/>
          <w:sz w:val="28"/>
          <w:szCs w:val="28"/>
        </w:rPr>
      </w:pPr>
      <w:r>
        <w:br w:type="page"/>
      </w:r>
    </w:p>
    <w:p w14:paraId="3D680CD1" w14:textId="77777777" w:rsidR="005A6A31" w:rsidRDefault="005A6A31">
      <w:pPr>
        <w:pStyle w:val="Heading2"/>
      </w:pPr>
      <w:bookmarkStart w:id="15" w:name="_Toc117000799"/>
      <w:r w:rsidRPr="00AE595D">
        <w:lastRenderedPageBreak/>
        <w:t>Preoperative</w:t>
      </w:r>
      <w:r w:rsidR="000A5AE2" w:rsidRPr="000A5AE2">
        <w:t xml:space="preserve"> </w:t>
      </w:r>
      <w:r w:rsidR="000A5AE2" w:rsidRPr="00AE595D">
        <w:t>Normothermia</w:t>
      </w:r>
      <w:bookmarkEnd w:id="15"/>
    </w:p>
    <w:p w14:paraId="5BC08837" w14:textId="77777777" w:rsidR="00B15E3E" w:rsidRPr="000A5AE2" w:rsidRDefault="00B15E3E" w:rsidP="00B15E3E">
      <w:pPr>
        <w:pStyle w:val="BodyText1"/>
      </w:pPr>
      <w:r w:rsidRPr="00B15E3E">
        <w:t>Normothermia should be maintained throughout the preoperative, intraoperative, and immediate postoperative period. Preoperative warming maybe helpful in maintaining intraoperative normothermia and should be especially considered for patients who are elderly, patients with cardiopulmonary disease, and long procedures.</w:t>
      </w:r>
    </w:p>
    <w:tbl>
      <w:tblPr>
        <w:tblStyle w:val="GridTable1Light1"/>
        <w:tblW w:w="4872" w:type="pct"/>
        <w:tblLook w:val="0600" w:firstRow="0" w:lastRow="0" w:firstColumn="0" w:lastColumn="0" w:noHBand="1" w:noVBand="1"/>
      </w:tblPr>
      <w:tblGrid>
        <w:gridCol w:w="3434"/>
        <w:gridCol w:w="3761"/>
        <w:gridCol w:w="4274"/>
        <w:gridCol w:w="3944"/>
        <w:gridCol w:w="3475"/>
        <w:gridCol w:w="3552"/>
      </w:tblGrid>
      <w:tr w:rsidR="00AE595D" w:rsidRPr="00AE595D" w14:paraId="665A6C77" w14:textId="77777777" w:rsidTr="009C7C23">
        <w:trPr>
          <w:cantSplit/>
          <w:trHeight w:val="990"/>
          <w:tblHeader/>
        </w:trPr>
        <w:tc>
          <w:tcPr>
            <w:tcW w:w="0" w:type="pct"/>
            <w:hideMark/>
          </w:tcPr>
          <w:p w14:paraId="04367B1A" w14:textId="25ACD91B" w:rsidR="00707C3C" w:rsidRPr="00AE595D" w:rsidRDefault="00707C3C" w:rsidP="00AE595D">
            <w:pPr>
              <w:spacing w:after="120" w:line="240" w:lineRule="auto"/>
              <w:ind w:left="152"/>
            </w:pPr>
            <w:r w:rsidRPr="00AE595D">
              <w:rPr>
                <w:b/>
                <w:bCs/>
              </w:rPr>
              <w:t xml:space="preserve">Pathway </w:t>
            </w:r>
          </w:p>
        </w:tc>
        <w:tc>
          <w:tcPr>
            <w:tcW w:w="0" w:type="pct"/>
            <w:hideMark/>
          </w:tcPr>
          <w:p w14:paraId="391D551C" w14:textId="77777777" w:rsidR="00707C3C" w:rsidRPr="00AE595D" w:rsidRDefault="00707C3C" w:rsidP="00AE595D">
            <w:pPr>
              <w:spacing w:after="120" w:line="240" w:lineRule="auto"/>
              <w:rPr>
                <w:b/>
                <w:bCs/>
              </w:rPr>
            </w:pPr>
            <w:r w:rsidRPr="00AE595D">
              <w:rPr>
                <w:b/>
                <w:bCs/>
              </w:rPr>
              <w:t>Component</w:t>
            </w:r>
          </w:p>
        </w:tc>
        <w:tc>
          <w:tcPr>
            <w:tcW w:w="0" w:type="pct"/>
            <w:hideMark/>
          </w:tcPr>
          <w:p w14:paraId="3556E3A5" w14:textId="00D1578D" w:rsidR="00137CA9" w:rsidRDefault="00707C3C" w:rsidP="00AE595D">
            <w:pPr>
              <w:spacing w:after="120" w:line="240" w:lineRule="auto"/>
              <w:rPr>
                <w:b/>
                <w:bCs/>
              </w:rPr>
            </w:pPr>
            <w:r w:rsidRPr="00AE595D">
              <w:rPr>
                <w:b/>
                <w:bCs/>
              </w:rPr>
              <w:t xml:space="preserve">Example Processes </w:t>
            </w:r>
            <w:r w:rsidR="0055266A">
              <w:rPr>
                <w:b/>
                <w:bCs/>
              </w:rPr>
              <w:t>T</w:t>
            </w:r>
            <w:r w:rsidRPr="00AE595D">
              <w:rPr>
                <w:b/>
                <w:bCs/>
              </w:rPr>
              <w:t>o Consider</w:t>
            </w:r>
          </w:p>
          <w:p w14:paraId="61680DED" w14:textId="77777777" w:rsidR="00707C3C" w:rsidRPr="00AE595D" w:rsidRDefault="00707C3C" w:rsidP="00AE595D">
            <w:pPr>
              <w:spacing w:after="120" w:line="240" w:lineRule="auto"/>
            </w:pPr>
            <w:r w:rsidRPr="00137CA9">
              <w:rPr>
                <w:bCs/>
                <w:i/>
              </w:rPr>
              <w:t>As a team, go through each component and discuss what approach best fits your hospital. It may be an option other than what is listed below.</w:t>
            </w:r>
          </w:p>
        </w:tc>
        <w:tc>
          <w:tcPr>
            <w:tcW w:w="0" w:type="pct"/>
            <w:hideMark/>
          </w:tcPr>
          <w:p w14:paraId="6FEB26E5" w14:textId="77777777" w:rsidR="00707C3C" w:rsidRPr="00AE595D" w:rsidRDefault="00707C3C" w:rsidP="00AE595D">
            <w:pPr>
              <w:spacing w:after="120" w:line="240" w:lineRule="auto"/>
            </w:pPr>
            <w:r w:rsidRPr="00AE595D">
              <w:rPr>
                <w:b/>
                <w:bCs/>
              </w:rPr>
              <w:t>Team Decisions/Notes</w:t>
            </w:r>
          </w:p>
          <w:p w14:paraId="2B400B51" w14:textId="77777777" w:rsidR="00707C3C" w:rsidRPr="00137CA9" w:rsidRDefault="00707C3C" w:rsidP="00AE595D">
            <w:pPr>
              <w:spacing w:after="120" w:line="240" w:lineRule="auto"/>
              <w:rPr>
                <w:i/>
              </w:rPr>
            </w:pPr>
            <w:r w:rsidRPr="00137CA9">
              <w:rPr>
                <w:bCs/>
                <w:i/>
              </w:rPr>
              <w:t>As a team, note exceptions and contraindications to the treatment or medications.</w:t>
            </w:r>
          </w:p>
        </w:tc>
        <w:tc>
          <w:tcPr>
            <w:tcW w:w="0" w:type="pct"/>
            <w:hideMark/>
          </w:tcPr>
          <w:p w14:paraId="52FEDA19" w14:textId="15A4A1A9" w:rsidR="00707C3C" w:rsidRPr="00AE595D" w:rsidRDefault="00AA140E" w:rsidP="00AE595D">
            <w:pPr>
              <w:spacing w:after="120" w:line="240" w:lineRule="auto"/>
            </w:pPr>
            <w:r>
              <w:rPr>
                <w:b/>
                <w:bCs/>
              </w:rPr>
              <w:t xml:space="preserve">Other Available Resources </w:t>
            </w:r>
            <w:r w:rsidR="0037447A">
              <w:rPr>
                <w:b/>
                <w:bCs/>
              </w:rPr>
              <w:t>and</w:t>
            </w:r>
            <w:r>
              <w:rPr>
                <w:b/>
                <w:bCs/>
              </w:rPr>
              <w:t xml:space="preserve"> Tips </w:t>
            </w:r>
            <w:r w:rsidR="0037447A">
              <w:rPr>
                <w:b/>
                <w:bCs/>
              </w:rPr>
              <w:t>T</w:t>
            </w:r>
            <w:r>
              <w:rPr>
                <w:b/>
                <w:bCs/>
              </w:rPr>
              <w:t>o Consider</w:t>
            </w:r>
          </w:p>
        </w:tc>
        <w:tc>
          <w:tcPr>
            <w:tcW w:w="0" w:type="pct"/>
            <w:hideMark/>
          </w:tcPr>
          <w:p w14:paraId="1601C95A" w14:textId="77777777" w:rsidR="009C15D7" w:rsidRDefault="009C15D7" w:rsidP="009C15D7">
            <w:pPr>
              <w:spacing w:after="120" w:line="240" w:lineRule="auto"/>
              <w:rPr>
                <w:b/>
                <w:bCs/>
              </w:rPr>
            </w:pPr>
            <w:r w:rsidRPr="00D63FC9">
              <w:rPr>
                <w:b/>
                <w:bCs/>
              </w:rPr>
              <w:t>ISCR Measures</w:t>
            </w:r>
          </w:p>
          <w:p w14:paraId="5D96341F" w14:textId="77777777" w:rsidR="00707C3C"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AE595D" w:rsidRPr="00AE595D" w14:paraId="0FE73C82" w14:textId="77777777" w:rsidTr="009C7C23">
        <w:trPr>
          <w:cantSplit/>
          <w:trHeight w:val="339"/>
        </w:trPr>
        <w:tc>
          <w:tcPr>
            <w:tcW w:w="0" w:type="pct"/>
            <w:hideMark/>
          </w:tcPr>
          <w:p w14:paraId="35FFFDF4" w14:textId="77777777" w:rsidR="005956DE" w:rsidRPr="007D43FC" w:rsidRDefault="006C07B3" w:rsidP="00AE595D">
            <w:pPr>
              <w:spacing w:after="120" w:line="240" w:lineRule="auto"/>
              <w:ind w:left="152"/>
              <w:rPr>
                <w:b/>
              </w:rPr>
            </w:pPr>
            <w:r w:rsidRPr="007D43FC">
              <w:rPr>
                <w:b/>
              </w:rPr>
              <w:t>All Pathways</w:t>
            </w:r>
          </w:p>
        </w:tc>
        <w:tc>
          <w:tcPr>
            <w:tcW w:w="0" w:type="pct"/>
          </w:tcPr>
          <w:p w14:paraId="38BE429F" w14:textId="77777777" w:rsidR="005956DE" w:rsidRPr="007D43FC" w:rsidRDefault="005956DE" w:rsidP="00AE595D">
            <w:pPr>
              <w:spacing w:after="120" w:line="240" w:lineRule="auto"/>
              <w:rPr>
                <w:b/>
                <w:bCs/>
              </w:rPr>
            </w:pPr>
            <w:r w:rsidRPr="007D43FC">
              <w:rPr>
                <w:b/>
                <w:bCs/>
              </w:rPr>
              <w:t>Normothermia</w:t>
            </w:r>
          </w:p>
        </w:tc>
        <w:tc>
          <w:tcPr>
            <w:tcW w:w="0" w:type="pct"/>
          </w:tcPr>
          <w:p w14:paraId="760EA473" w14:textId="77777777" w:rsidR="005956DE" w:rsidRPr="007D43FC" w:rsidRDefault="005956DE" w:rsidP="00AE595D">
            <w:pPr>
              <w:spacing w:after="120" w:line="240" w:lineRule="auto"/>
              <w:rPr>
                <w:rFonts w:eastAsia="Times New Roman" w:cs="Times New Roman"/>
                <w:b/>
                <w:color w:val="000000"/>
              </w:rPr>
            </w:pPr>
            <w:r w:rsidRPr="007D43FC">
              <w:rPr>
                <w:rFonts w:eastAsia="Times New Roman" w:cs="Times New Roman"/>
                <w:b/>
                <w:color w:val="000000"/>
              </w:rPr>
              <w:t>Recommended approach:</w:t>
            </w:r>
          </w:p>
          <w:p w14:paraId="2AC7D60D" w14:textId="77777777" w:rsidR="005956DE" w:rsidRPr="00AE595D" w:rsidRDefault="005956DE" w:rsidP="007F7E50">
            <w:pPr>
              <w:pStyle w:val="ListParagraph"/>
              <w:numPr>
                <w:ilvl w:val="0"/>
                <w:numId w:val="21"/>
              </w:numPr>
              <w:spacing w:after="120" w:line="240" w:lineRule="auto"/>
              <w:contextualSpacing w:val="0"/>
              <w:rPr>
                <w:rFonts w:eastAsia="Times New Roman" w:cs="Times New Roman"/>
                <w:color w:val="000000"/>
              </w:rPr>
            </w:pPr>
            <w:r w:rsidRPr="00AE595D">
              <w:rPr>
                <w:rFonts w:eastAsia="Times New Roman" w:cs="Times New Roman"/>
                <w:color w:val="000000"/>
              </w:rPr>
              <w:t xml:space="preserve">Forced air warmer in preoperative area </w:t>
            </w:r>
          </w:p>
        </w:tc>
        <w:tc>
          <w:tcPr>
            <w:tcW w:w="0" w:type="pct"/>
          </w:tcPr>
          <w:p w14:paraId="4F6B7761" w14:textId="5185695D" w:rsidR="005956DE" w:rsidRPr="00AE595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37447A">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68CFA917" w14:textId="5ECC5FFC" w:rsidR="005956DE"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5956DE" w:rsidRPr="00AE595D">
              <w:rPr>
                <w:rFonts w:eastAsia="Times New Roman" w:cs="Times New Roman"/>
                <w:color w:val="000000"/>
              </w:rPr>
              <w:t xml:space="preserve">: </w:t>
            </w:r>
            <w:r w:rsidR="00356A5A" w:rsidRPr="00AE595D">
              <w:rPr>
                <w:rFonts w:eastAsia="Times New Roman" w:cs="Times New Roman"/>
                <w:color w:val="000000"/>
              </w:rPr>
              <w:t>Place blanket warmers in prep area and include in order set/policy. Let all know that blanket warmers also increase patient satisfaction</w:t>
            </w:r>
            <w:r w:rsidR="008A4CA8">
              <w:rPr>
                <w:rFonts w:eastAsia="Times New Roman" w:cs="Times New Roman"/>
                <w:color w:val="000000"/>
              </w:rPr>
              <w:t>.</w:t>
            </w:r>
          </w:p>
        </w:tc>
        <w:tc>
          <w:tcPr>
            <w:tcW w:w="0" w:type="pct"/>
          </w:tcPr>
          <w:p w14:paraId="0196C3EE" w14:textId="5258E395" w:rsidR="005956DE" w:rsidRPr="00D033DE" w:rsidRDefault="00701874" w:rsidP="00DA7180">
            <w:pPr>
              <w:spacing w:after="120" w:line="240" w:lineRule="auto"/>
              <w:jc w:val="both"/>
              <w:rPr>
                <w:rFonts w:eastAsia="Times New Roman" w:cs="Times New Roman"/>
                <w:bCs/>
                <w:i/>
                <w:color w:val="000000"/>
              </w:rPr>
            </w:pPr>
            <w:r w:rsidRPr="00D033DE">
              <w:rPr>
                <w:i/>
              </w:rPr>
              <w:t xml:space="preserve"> </w:t>
            </w:r>
            <w:r w:rsidR="00D033DE" w:rsidRPr="00D033DE">
              <w:rPr>
                <w:i/>
              </w:rPr>
              <w:t xml:space="preserve">Enter </w:t>
            </w:r>
            <w:r w:rsidR="0037447A">
              <w:rPr>
                <w:i/>
              </w:rPr>
              <w:t xml:space="preserve">ISCR measures </w:t>
            </w:r>
            <w:r w:rsidR="00D033DE" w:rsidRPr="00D033DE">
              <w:rPr>
                <w:i/>
              </w:rPr>
              <w:t>here</w:t>
            </w:r>
          </w:p>
        </w:tc>
      </w:tr>
    </w:tbl>
    <w:p w14:paraId="3508FFCD" w14:textId="0627FE23" w:rsidR="005A6A31" w:rsidRPr="00AE595D" w:rsidRDefault="0037447A" w:rsidP="00AE595D">
      <w:pPr>
        <w:spacing w:after="120" w:line="240" w:lineRule="auto"/>
        <w:rPr>
          <w:b/>
        </w:rPr>
      </w:pPr>
      <w:r w:rsidRPr="00AE595D">
        <w:t>Abbreviations:</w:t>
      </w:r>
      <w:r>
        <w:t xml:space="preserve"> ISCR = Improving Surgical Care and Recovery</w:t>
      </w:r>
    </w:p>
    <w:p w14:paraId="354A1FC5" w14:textId="77777777" w:rsidR="00E06E44" w:rsidRPr="00AE595D" w:rsidRDefault="00E06E44" w:rsidP="00AE595D">
      <w:pPr>
        <w:spacing w:after="120" w:line="240" w:lineRule="auto"/>
        <w:rPr>
          <w:b/>
        </w:rPr>
      </w:pPr>
      <w:r w:rsidRPr="00AE595D">
        <w:rPr>
          <w:b/>
        </w:rPr>
        <w:br w:type="page"/>
      </w:r>
    </w:p>
    <w:p w14:paraId="77B1A4EA" w14:textId="77777777" w:rsidR="006C2D73" w:rsidRPr="00AE595D" w:rsidRDefault="006C2D73">
      <w:pPr>
        <w:pStyle w:val="Heading2"/>
      </w:pPr>
      <w:bookmarkStart w:id="16" w:name="_Toc117000800"/>
      <w:r w:rsidRPr="00AE595D">
        <w:lastRenderedPageBreak/>
        <w:t>Preoperative Antibiotics</w:t>
      </w:r>
      <w:bookmarkEnd w:id="16"/>
    </w:p>
    <w:tbl>
      <w:tblPr>
        <w:tblStyle w:val="GridTable1Light1"/>
        <w:tblW w:w="5002" w:type="pct"/>
        <w:tblLook w:val="0600" w:firstRow="0" w:lastRow="0" w:firstColumn="0" w:lastColumn="0" w:noHBand="1" w:noVBand="1"/>
      </w:tblPr>
      <w:tblGrid>
        <w:gridCol w:w="2834"/>
        <w:gridCol w:w="2877"/>
        <w:gridCol w:w="3614"/>
        <w:gridCol w:w="3363"/>
        <w:gridCol w:w="7505"/>
        <w:gridCol w:w="2846"/>
      </w:tblGrid>
      <w:tr w:rsidR="006C2D73" w:rsidRPr="00AE595D" w14:paraId="5AA039FF" w14:textId="77777777" w:rsidTr="009C7C23">
        <w:trPr>
          <w:cantSplit/>
          <w:trHeight w:val="973"/>
          <w:tblHeader/>
        </w:trPr>
        <w:tc>
          <w:tcPr>
            <w:tcW w:w="0" w:type="pct"/>
            <w:hideMark/>
          </w:tcPr>
          <w:p w14:paraId="75108D1E" w14:textId="618B2A33" w:rsidR="006C2D73" w:rsidRPr="00AE595D" w:rsidRDefault="006C2D73" w:rsidP="00813B51">
            <w:pPr>
              <w:spacing w:after="120" w:line="240" w:lineRule="auto"/>
              <w:ind w:left="152"/>
            </w:pPr>
            <w:r w:rsidRPr="00AE595D">
              <w:rPr>
                <w:b/>
                <w:bCs/>
              </w:rPr>
              <w:t xml:space="preserve">Pathway  </w:t>
            </w:r>
          </w:p>
        </w:tc>
        <w:tc>
          <w:tcPr>
            <w:tcW w:w="0" w:type="pct"/>
            <w:hideMark/>
          </w:tcPr>
          <w:p w14:paraId="1702B3E8" w14:textId="77777777" w:rsidR="006C2D73" w:rsidRPr="00AE595D" w:rsidRDefault="006C2D73" w:rsidP="00813B51">
            <w:pPr>
              <w:spacing w:after="120" w:line="240" w:lineRule="auto"/>
              <w:rPr>
                <w:b/>
                <w:bCs/>
              </w:rPr>
            </w:pPr>
            <w:r w:rsidRPr="00AE595D">
              <w:rPr>
                <w:b/>
                <w:bCs/>
              </w:rPr>
              <w:t>Component</w:t>
            </w:r>
          </w:p>
        </w:tc>
        <w:tc>
          <w:tcPr>
            <w:tcW w:w="0" w:type="pct"/>
            <w:hideMark/>
          </w:tcPr>
          <w:p w14:paraId="5DBC966F" w14:textId="67DA9973" w:rsidR="006C2D73" w:rsidRPr="00AE595D" w:rsidRDefault="006C2D73" w:rsidP="00813B51">
            <w:pPr>
              <w:spacing w:after="120" w:line="240" w:lineRule="auto"/>
            </w:pPr>
            <w:r w:rsidRPr="00AE595D">
              <w:rPr>
                <w:b/>
                <w:bCs/>
              </w:rPr>
              <w:t xml:space="preserve">Example Processes </w:t>
            </w:r>
            <w:r w:rsidR="0055266A">
              <w:rPr>
                <w:b/>
                <w:bCs/>
              </w:rPr>
              <w:t>T</w:t>
            </w:r>
            <w:r w:rsidRPr="00AE595D">
              <w:rPr>
                <w:b/>
                <w:bCs/>
              </w:rPr>
              <w:t>o Consider</w:t>
            </w:r>
            <w:r w:rsidRPr="00AE595D">
              <w:rPr>
                <w:b/>
                <w:bCs/>
              </w:rPr>
              <w:br/>
            </w:r>
            <w:r w:rsidRPr="00AE595D">
              <w:rPr>
                <w:b/>
                <w:bCs/>
                <w:i/>
              </w:rPr>
              <w:t>As a team, go through each component and discuss what approach best fits your hospital. It may be an option other than what is listed below.</w:t>
            </w:r>
          </w:p>
        </w:tc>
        <w:tc>
          <w:tcPr>
            <w:tcW w:w="0" w:type="pct"/>
            <w:hideMark/>
          </w:tcPr>
          <w:p w14:paraId="26E40149" w14:textId="77777777" w:rsidR="006C2D73" w:rsidRPr="00AE595D" w:rsidRDefault="006C2D73" w:rsidP="00813B51">
            <w:pPr>
              <w:spacing w:after="120" w:line="240" w:lineRule="auto"/>
            </w:pPr>
            <w:r w:rsidRPr="00AE595D">
              <w:rPr>
                <w:b/>
                <w:bCs/>
              </w:rPr>
              <w:t>Team Decisions/Notes</w:t>
            </w:r>
          </w:p>
          <w:p w14:paraId="141202A6" w14:textId="77777777" w:rsidR="006C2D73" w:rsidRPr="00AE595D" w:rsidRDefault="006C2D73" w:rsidP="00813B51">
            <w:pPr>
              <w:spacing w:after="120" w:line="240" w:lineRule="auto"/>
              <w:rPr>
                <w:i/>
              </w:rPr>
            </w:pPr>
            <w:r w:rsidRPr="00AE595D">
              <w:rPr>
                <w:b/>
                <w:bCs/>
                <w:i/>
              </w:rPr>
              <w:t>As a team, note exceptions and contraindications to the treatment or medications.</w:t>
            </w:r>
          </w:p>
        </w:tc>
        <w:tc>
          <w:tcPr>
            <w:tcW w:w="0" w:type="pct"/>
            <w:hideMark/>
          </w:tcPr>
          <w:p w14:paraId="11FC4577" w14:textId="0159DA7B" w:rsidR="006C2D73" w:rsidRPr="00AE595D" w:rsidRDefault="00AA140E" w:rsidP="00813B51">
            <w:pPr>
              <w:spacing w:after="120" w:line="240" w:lineRule="auto"/>
            </w:pPr>
            <w:r>
              <w:rPr>
                <w:b/>
                <w:bCs/>
              </w:rPr>
              <w:t xml:space="preserve">Other Available Resources </w:t>
            </w:r>
            <w:r w:rsidR="0037447A">
              <w:rPr>
                <w:b/>
                <w:bCs/>
              </w:rPr>
              <w:t>and</w:t>
            </w:r>
            <w:r>
              <w:rPr>
                <w:b/>
                <w:bCs/>
              </w:rPr>
              <w:t xml:space="preserve"> Tips </w:t>
            </w:r>
            <w:r w:rsidR="0037447A">
              <w:rPr>
                <w:b/>
                <w:bCs/>
              </w:rPr>
              <w:t>T</w:t>
            </w:r>
            <w:r>
              <w:rPr>
                <w:b/>
                <w:bCs/>
              </w:rPr>
              <w:t>o Consider</w:t>
            </w:r>
          </w:p>
        </w:tc>
        <w:tc>
          <w:tcPr>
            <w:tcW w:w="0" w:type="pct"/>
            <w:hideMark/>
          </w:tcPr>
          <w:p w14:paraId="1601B1B0" w14:textId="77777777" w:rsidR="009C15D7" w:rsidRDefault="009C15D7" w:rsidP="009C15D7">
            <w:pPr>
              <w:spacing w:after="120" w:line="240" w:lineRule="auto"/>
              <w:rPr>
                <w:b/>
                <w:bCs/>
              </w:rPr>
            </w:pPr>
            <w:r w:rsidRPr="00D63FC9">
              <w:rPr>
                <w:b/>
                <w:bCs/>
              </w:rPr>
              <w:t>ISCR Measures</w:t>
            </w:r>
          </w:p>
          <w:p w14:paraId="5A0A5D0A" w14:textId="77777777" w:rsidR="006C2D73"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6C2D73" w:rsidRPr="0019570D" w14:paraId="716A492C" w14:textId="77777777" w:rsidTr="009C7C23">
        <w:trPr>
          <w:cantSplit/>
          <w:trHeight w:val="640"/>
        </w:trPr>
        <w:tc>
          <w:tcPr>
            <w:tcW w:w="0" w:type="pct"/>
          </w:tcPr>
          <w:p w14:paraId="4FDDE505" w14:textId="77777777" w:rsidR="006C2D73" w:rsidRPr="0019570D" w:rsidRDefault="007F7E50" w:rsidP="007F7E50">
            <w:pPr>
              <w:spacing w:after="120" w:line="240" w:lineRule="auto"/>
              <w:ind w:left="152"/>
            </w:pPr>
            <w:r w:rsidRPr="0019570D">
              <w:t xml:space="preserve">All </w:t>
            </w:r>
            <w:r w:rsidR="006C2D73" w:rsidRPr="0019570D">
              <w:t xml:space="preserve">Emergency General Surgery </w:t>
            </w:r>
            <w:r w:rsidRPr="0019570D">
              <w:t>Pathways</w:t>
            </w:r>
          </w:p>
        </w:tc>
        <w:tc>
          <w:tcPr>
            <w:tcW w:w="0" w:type="pct"/>
          </w:tcPr>
          <w:p w14:paraId="0EA7D48D" w14:textId="77777777" w:rsidR="006C2D73" w:rsidRPr="0019570D" w:rsidRDefault="006C2D73" w:rsidP="00813B51">
            <w:pPr>
              <w:spacing w:after="120" w:line="240" w:lineRule="auto"/>
              <w:rPr>
                <w:b/>
                <w:bCs/>
              </w:rPr>
            </w:pPr>
            <w:r w:rsidRPr="0019570D">
              <w:rPr>
                <w:b/>
                <w:bCs/>
              </w:rPr>
              <w:t>Preoperative Antibiotics</w:t>
            </w:r>
          </w:p>
        </w:tc>
        <w:tc>
          <w:tcPr>
            <w:tcW w:w="0" w:type="pct"/>
          </w:tcPr>
          <w:p w14:paraId="5791CFA2" w14:textId="77777777" w:rsidR="006C2D73" w:rsidRPr="009C7C23" w:rsidRDefault="006C2D73" w:rsidP="00813B51">
            <w:pPr>
              <w:spacing w:after="120" w:line="240" w:lineRule="auto"/>
              <w:rPr>
                <w:b/>
                <w:bCs/>
              </w:rPr>
            </w:pPr>
            <w:r w:rsidRPr="009C7C23">
              <w:rPr>
                <w:b/>
                <w:bCs/>
              </w:rPr>
              <w:t>Recommended approach:</w:t>
            </w:r>
          </w:p>
          <w:p w14:paraId="0FD74C5A" w14:textId="77777777" w:rsidR="006C2D73" w:rsidRPr="0019570D" w:rsidRDefault="006C2D73" w:rsidP="007F7E50">
            <w:pPr>
              <w:pStyle w:val="ListParagraph"/>
              <w:numPr>
                <w:ilvl w:val="0"/>
                <w:numId w:val="38"/>
              </w:numPr>
              <w:spacing w:after="120" w:line="240" w:lineRule="auto"/>
              <w:contextualSpacing w:val="0"/>
            </w:pPr>
            <w:r w:rsidRPr="0019570D">
              <w:t>Begin broad spectrum antibiotics within one hour of presentation i</w:t>
            </w:r>
            <w:r w:rsidR="007F7E50" w:rsidRPr="0019570D">
              <w:t>f</w:t>
            </w:r>
            <w:r w:rsidRPr="0019570D">
              <w:t xml:space="preserve"> patient is exhibiting signs of sepsis or peritonitis.</w:t>
            </w:r>
            <w:r w:rsidRPr="0019570D">
              <w:rPr>
                <w:vertAlign w:val="superscript"/>
              </w:rPr>
              <w:t>1</w:t>
            </w:r>
          </w:p>
          <w:p w14:paraId="5198CBA5" w14:textId="79485DED" w:rsidR="007F7E50" w:rsidRPr="0019570D" w:rsidRDefault="007F7E50" w:rsidP="007F7E50">
            <w:pPr>
              <w:spacing w:after="120" w:line="240" w:lineRule="auto"/>
              <w:rPr>
                <w:i/>
                <w:u w:val="single"/>
              </w:rPr>
            </w:pPr>
            <w:r w:rsidRPr="0019570D">
              <w:rPr>
                <w:i/>
                <w:u w:val="single"/>
              </w:rPr>
              <w:t>Cholecystectomy (</w:t>
            </w:r>
            <w:r w:rsidR="0082059F">
              <w:rPr>
                <w:i/>
                <w:u w:val="single"/>
              </w:rPr>
              <w:t xml:space="preserve">for </w:t>
            </w:r>
            <w:r w:rsidRPr="0019570D">
              <w:rPr>
                <w:i/>
                <w:u w:val="single"/>
              </w:rPr>
              <w:t>complicated acute cholecystitis):</w:t>
            </w:r>
          </w:p>
          <w:p w14:paraId="6DC9668F" w14:textId="1D1AFB08" w:rsidR="007F7E50" w:rsidRPr="0019570D" w:rsidRDefault="007F7E50" w:rsidP="007F7E50">
            <w:pPr>
              <w:pStyle w:val="ListParagraph"/>
              <w:numPr>
                <w:ilvl w:val="0"/>
                <w:numId w:val="38"/>
              </w:numPr>
              <w:spacing w:after="120" w:line="240" w:lineRule="auto"/>
            </w:pPr>
            <w:r w:rsidRPr="0019570D">
              <w:t>Begin antibiotics with coverage of gram</w:t>
            </w:r>
            <w:r w:rsidR="0037447A">
              <w:t>-</w:t>
            </w:r>
            <w:r w:rsidRPr="0019570D">
              <w:t xml:space="preserve">negative rods and anaerobes as soon as possible upon presentation, within </w:t>
            </w:r>
            <w:r w:rsidR="0037447A">
              <w:t>1</w:t>
            </w:r>
            <w:r w:rsidRPr="0019570D">
              <w:t xml:space="preserve"> hour if signs of sepsis</w:t>
            </w:r>
            <w:r w:rsidRPr="00890EAD">
              <w:rPr>
                <w:vertAlign w:val="superscript"/>
              </w:rPr>
              <w:t>1</w:t>
            </w:r>
          </w:p>
        </w:tc>
        <w:tc>
          <w:tcPr>
            <w:tcW w:w="0" w:type="pct"/>
          </w:tcPr>
          <w:p w14:paraId="6270722F" w14:textId="7AB60E11" w:rsidR="006C2D73" w:rsidRPr="0019570D" w:rsidRDefault="00001AAC" w:rsidP="00813B51">
            <w:pPr>
              <w:spacing w:after="120" w:line="240" w:lineRule="auto"/>
              <w:ind w:left="288" w:hanging="288"/>
            </w:pPr>
            <w:r w:rsidRPr="007C7841">
              <w:rPr>
                <w:rFonts w:eastAsia="Times New Roman" w:cs="Times New Roman"/>
                <w:i/>
                <w:color w:val="000000"/>
              </w:rPr>
              <w:t xml:space="preserve">Enter </w:t>
            </w:r>
            <w:r w:rsidR="0037447A">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5F43BE97" w14:textId="77777777" w:rsidR="007A7448" w:rsidRPr="0019570D" w:rsidRDefault="007A7448" w:rsidP="007A7448">
            <w:pPr>
              <w:pStyle w:val="TableParagraph"/>
              <w:rPr>
                <w:rFonts w:eastAsia="Times New Roman" w:cs="Times New Roman"/>
                <w:color w:val="000000"/>
              </w:rPr>
            </w:pPr>
            <w:r w:rsidRPr="0019570D">
              <w:rPr>
                <w:rFonts w:eastAsia="Times New Roman" w:cs="Times New Roman"/>
                <w:b/>
                <w:color w:val="000000"/>
              </w:rPr>
              <w:t>Resource:</w:t>
            </w:r>
            <w:r w:rsidRPr="0019570D">
              <w:rPr>
                <w:rFonts w:eastAsia="Times New Roman" w:cs="Times New Roman"/>
                <w:color w:val="000000"/>
              </w:rPr>
              <w:t xml:space="preserve"> Healthcare Infection Control Practices Advisory Committee (HICPAC) Guidelines for Prevention of Surgical Site Infections:</w:t>
            </w:r>
          </w:p>
          <w:p w14:paraId="7CFD8217" w14:textId="38415FB5" w:rsidR="007A7448" w:rsidRDefault="002570ED" w:rsidP="007A7448">
            <w:pPr>
              <w:spacing w:after="120" w:line="240" w:lineRule="auto"/>
              <w:ind w:left="346" w:hanging="360"/>
              <w:rPr>
                <w:b/>
              </w:rPr>
            </w:pPr>
            <w:hyperlink r:id="rId18" w:history="1">
              <w:r w:rsidR="007A7448" w:rsidRPr="0019570D">
                <w:rPr>
                  <w:rStyle w:val="Hyperlink"/>
                  <w:rFonts w:eastAsia="Times New Roman" w:cs="Times New Roman"/>
                </w:rPr>
                <w:t>https://www.cdc.gov/infectioncontrol/guidelines/ssi/index.html</w:t>
              </w:r>
            </w:hyperlink>
            <w:r w:rsidR="007A7448">
              <w:rPr>
                <w:color w:val="000000"/>
                <w:vertAlign w:val="superscript"/>
              </w:rPr>
              <w:t>2</w:t>
            </w:r>
          </w:p>
          <w:p w14:paraId="0ED96731" w14:textId="271FC9DD" w:rsidR="006C2D73" w:rsidRPr="0019570D" w:rsidRDefault="003023A5" w:rsidP="00506BF6">
            <w:pPr>
              <w:spacing w:after="120" w:line="240" w:lineRule="auto"/>
              <w:ind w:left="346" w:hanging="360"/>
            </w:pPr>
            <w:r>
              <w:rPr>
                <w:b/>
              </w:rPr>
              <w:t>Tip</w:t>
            </w:r>
            <w:r w:rsidR="00506BF6" w:rsidRPr="0019570D">
              <w:rPr>
                <w:b/>
              </w:rPr>
              <w:t>:</w:t>
            </w:r>
            <w:r w:rsidR="00506BF6" w:rsidRPr="0019570D">
              <w:t xml:space="preserve"> Consult with your pharmacist for appropriate redosing intervals and </w:t>
            </w:r>
            <w:r w:rsidR="003C4780" w:rsidRPr="003C4780">
              <w:t>dosing in in patients with renal insufficiency</w:t>
            </w:r>
            <w:r w:rsidR="008A4CA8">
              <w:t>.</w:t>
            </w:r>
            <w:r w:rsidR="003C4780" w:rsidRPr="003C4780" w:rsidDel="003C4780">
              <w:t xml:space="preserve"> </w:t>
            </w:r>
            <w:r w:rsidR="00506BF6" w:rsidRPr="0019570D">
              <w:tab/>
            </w:r>
          </w:p>
        </w:tc>
        <w:tc>
          <w:tcPr>
            <w:tcW w:w="0" w:type="pct"/>
          </w:tcPr>
          <w:p w14:paraId="45588EC7" w14:textId="46B7FE33" w:rsidR="006C2D73" w:rsidRPr="00D033DE" w:rsidRDefault="00D033DE" w:rsidP="00813B51">
            <w:pPr>
              <w:spacing w:after="120" w:line="240" w:lineRule="auto"/>
              <w:ind w:left="288" w:hanging="288"/>
              <w:rPr>
                <w:i/>
              </w:rPr>
            </w:pPr>
            <w:r w:rsidRPr="00D033DE">
              <w:rPr>
                <w:i/>
              </w:rPr>
              <w:t xml:space="preserve">Enter </w:t>
            </w:r>
            <w:r w:rsidR="0037447A">
              <w:rPr>
                <w:i/>
              </w:rPr>
              <w:t xml:space="preserve">ISCR measures </w:t>
            </w:r>
            <w:r w:rsidRPr="00D033DE">
              <w:rPr>
                <w:i/>
              </w:rPr>
              <w:t>here</w:t>
            </w:r>
          </w:p>
        </w:tc>
      </w:tr>
    </w:tbl>
    <w:p w14:paraId="7AAAA7DD" w14:textId="7FF6BEB2" w:rsidR="0037447A" w:rsidRDefault="0037447A" w:rsidP="004D6710">
      <w:pPr>
        <w:spacing w:after="120" w:line="240" w:lineRule="auto"/>
        <w:ind w:left="180" w:hanging="180"/>
      </w:pPr>
      <w:r w:rsidRPr="00AE595D">
        <w:t>Abbreviations:</w:t>
      </w:r>
      <w:r>
        <w:t xml:space="preserve"> ISCR = Improving Surgical Care and Recovery</w:t>
      </w:r>
    </w:p>
    <w:p w14:paraId="158617DF" w14:textId="474D4707" w:rsidR="006C2D73" w:rsidRDefault="006C2D73" w:rsidP="004D6710">
      <w:pPr>
        <w:spacing w:after="120" w:line="240" w:lineRule="auto"/>
        <w:ind w:left="180" w:hanging="180"/>
      </w:pPr>
      <w:r w:rsidRPr="0019570D">
        <w:t xml:space="preserve">1 </w:t>
      </w:r>
      <w:proofErr w:type="spellStart"/>
      <w:r w:rsidRPr="0019570D">
        <w:t>Mazuski</w:t>
      </w:r>
      <w:proofErr w:type="spellEnd"/>
      <w:r w:rsidRPr="0019570D">
        <w:t xml:space="preserve"> JE, Tessier JM, May AK,</w:t>
      </w:r>
      <w:r w:rsidR="0025268E">
        <w:t xml:space="preserve"> et al</w:t>
      </w:r>
      <w:r w:rsidRPr="00AE595D">
        <w:t>. The Surgical Infection Society revised guidelines on the management of intra-abdominal infection. Surg Infect. 2017 Jan;18(1):1-76.</w:t>
      </w:r>
    </w:p>
    <w:p w14:paraId="67440366" w14:textId="2F1D1F20" w:rsidR="007A7448" w:rsidRPr="00AE595D" w:rsidRDefault="007A7448" w:rsidP="004D6710">
      <w:pPr>
        <w:spacing w:after="120" w:line="240" w:lineRule="auto"/>
        <w:ind w:left="180" w:hanging="180"/>
      </w:pPr>
      <w:r>
        <w:t>2</w:t>
      </w:r>
      <w:r w:rsidRPr="007A7448">
        <w:t xml:space="preserve"> </w:t>
      </w:r>
      <w:proofErr w:type="spellStart"/>
      <w:r w:rsidRPr="007A7448">
        <w:t>Berríos</w:t>
      </w:r>
      <w:proofErr w:type="spellEnd"/>
      <w:r w:rsidRPr="007A7448">
        <w:t>-Torres SI, Umscheid CA, Bratzler DW, et al. Centers for Disease Control and Prevention Guideline for the Prevention of Surgical Site Infection, 2017. JAMA Surg. 2017;152(8):784–91. doi:10.1001/jamasurg.2017.0904</w:t>
      </w:r>
    </w:p>
    <w:p w14:paraId="544E754A" w14:textId="77777777" w:rsidR="006C2D73" w:rsidRDefault="006C2D73">
      <w:pPr>
        <w:spacing w:after="160" w:line="259" w:lineRule="auto"/>
        <w:ind w:left="360" w:hanging="360"/>
        <w:rPr>
          <w:b/>
          <w:bCs/>
          <w:sz w:val="28"/>
          <w:szCs w:val="28"/>
        </w:rPr>
      </w:pPr>
      <w:r>
        <w:br w:type="page"/>
      </w:r>
    </w:p>
    <w:p w14:paraId="60F68953" w14:textId="77777777" w:rsidR="005A6A31" w:rsidRDefault="000A5AE2">
      <w:pPr>
        <w:pStyle w:val="Heading2"/>
      </w:pPr>
      <w:bookmarkStart w:id="17" w:name="_Toc117000801"/>
      <w:r w:rsidRPr="000A5AE2">
        <w:lastRenderedPageBreak/>
        <w:t>Preop</w:t>
      </w:r>
      <w:r>
        <w:t>erative</w:t>
      </w:r>
      <w:r w:rsidRPr="000A5AE2">
        <w:t xml:space="preserve"> Multimodal Pain Management</w:t>
      </w:r>
      <w:bookmarkEnd w:id="17"/>
    </w:p>
    <w:p w14:paraId="6CFF0F24" w14:textId="0B3FD177" w:rsidR="007F38B9" w:rsidRDefault="007F38B9" w:rsidP="007F38B9">
      <w:pPr>
        <w:pStyle w:val="BodyText1"/>
      </w:pPr>
      <w:r>
        <w:t>Routine administration of multiple nonopioid analgesics in the immediate preoperative period is recommended if no contraindications.</w:t>
      </w:r>
    </w:p>
    <w:p w14:paraId="0FF4B7B1" w14:textId="676AE2AE" w:rsidR="007F38B9" w:rsidRDefault="007F38B9" w:rsidP="007F38B9">
      <w:pPr>
        <w:pStyle w:val="Bullet1"/>
      </w:pPr>
      <w:r w:rsidRPr="00A466F9">
        <w:rPr>
          <w:i/>
        </w:rPr>
        <w:t>Considerations for geriatric patients</w:t>
      </w:r>
      <w:r w:rsidR="00AE511F">
        <w:rPr>
          <w:i/>
        </w:rPr>
        <w:t xml:space="preserve"> </w:t>
      </w:r>
      <w:r w:rsidRPr="00A466F9">
        <w:rPr>
          <w:i/>
        </w:rPr>
        <w:t>65</w:t>
      </w:r>
      <w:r w:rsidR="00AE511F">
        <w:rPr>
          <w:i/>
        </w:rPr>
        <w:t xml:space="preserve"> </w:t>
      </w:r>
      <w:r w:rsidR="00EB2453">
        <w:rPr>
          <w:i/>
        </w:rPr>
        <w:t xml:space="preserve">years of age </w:t>
      </w:r>
      <w:r w:rsidR="00AE511F">
        <w:rPr>
          <w:i/>
        </w:rPr>
        <w:t>or older</w:t>
      </w:r>
      <w:r w:rsidRPr="00A466F9">
        <w:rPr>
          <w:i/>
        </w:rPr>
        <w:t>:</w:t>
      </w:r>
      <w:r>
        <w:t xml:space="preserve"> care should be taken with regards to </w:t>
      </w:r>
      <w:r w:rsidR="00AE511F">
        <w:t xml:space="preserve">medication </w:t>
      </w:r>
      <w:r>
        <w:t>contraindications in older</w:t>
      </w:r>
      <w:r w:rsidR="00AE511F">
        <w:t xml:space="preserve"> or </w:t>
      </w:r>
      <w:r>
        <w:t>frail patients.</w:t>
      </w:r>
    </w:p>
    <w:p w14:paraId="3A37AC16" w14:textId="5EF9F0DF" w:rsidR="007F38B9" w:rsidRDefault="007F38B9" w:rsidP="007F38B9">
      <w:pPr>
        <w:pStyle w:val="Bullet1"/>
      </w:pPr>
      <w:r w:rsidRPr="00A466F9">
        <w:rPr>
          <w:i/>
        </w:rPr>
        <w:t>Considerations for orthopedic procedures:</w:t>
      </w:r>
      <w:r>
        <w:t xml:space="preserve"> </w:t>
      </w:r>
      <w:r w:rsidR="0037447A">
        <w:t>t</w:t>
      </w:r>
      <w:r>
        <w:t xml:space="preserve">he role of nonsteroidal anti-inflammatory agents in orthopedic surgery is controversial due to concerns over the long-term impact on bone healing. However, for short-term use, the potential benefits may outweigh the risks. Care should be taken in patients with renal insufficiency. </w:t>
      </w:r>
    </w:p>
    <w:p w14:paraId="04D196F8" w14:textId="0586B293" w:rsidR="007F38B9" w:rsidRPr="00AE595D" w:rsidRDefault="007F38B9" w:rsidP="007F38B9">
      <w:pPr>
        <w:pStyle w:val="Bullet1"/>
        <w:rPr>
          <w:b/>
        </w:rPr>
      </w:pPr>
      <w:bookmarkStart w:id="18" w:name="_Hlk111555447"/>
      <w:r w:rsidRPr="00A466F9">
        <w:rPr>
          <w:i/>
        </w:rPr>
        <w:t>Considerations for hip fracture procedures</w:t>
      </w:r>
      <w:bookmarkEnd w:id="18"/>
      <w:r w:rsidRPr="00A466F9">
        <w:rPr>
          <w:i/>
        </w:rPr>
        <w:t>:</w:t>
      </w:r>
      <w:r>
        <w:t xml:space="preserve"> </w:t>
      </w:r>
      <w:r w:rsidR="0037447A">
        <w:t>t</w:t>
      </w:r>
      <w:r>
        <w:t>his approach should be undertaken as quickly as possible after presentation to the hospital. Regional analgesia</w:t>
      </w:r>
      <w:r w:rsidR="0037447A">
        <w:t xml:space="preserve"> </w:t>
      </w:r>
      <w:r w:rsidR="0037447A">
        <w:rPr>
          <w:rFonts w:cstheme="minorHAnsi"/>
        </w:rPr>
        <w:t>–</w:t>
      </w:r>
      <w:r w:rsidR="0037447A">
        <w:t xml:space="preserve"> a</w:t>
      </w:r>
      <w:r>
        <w:t>ssuming no contraindications and availability of resources, the use of a peripheral nerve block prior to surgery may be beneficial to help control pain, reduce opioid use</w:t>
      </w:r>
      <w:r w:rsidR="0037447A">
        <w:t>,</w:t>
      </w:r>
      <w:r>
        <w:t xml:space="preserve"> and minimize delirium.</w:t>
      </w:r>
    </w:p>
    <w:tbl>
      <w:tblPr>
        <w:tblStyle w:val="GridTable1Light1"/>
        <w:tblW w:w="5000" w:type="pct"/>
        <w:tblLook w:val="0600" w:firstRow="0" w:lastRow="0" w:firstColumn="0" w:lastColumn="0" w:noHBand="1" w:noVBand="1"/>
      </w:tblPr>
      <w:tblGrid>
        <w:gridCol w:w="3462"/>
        <w:gridCol w:w="3652"/>
        <w:gridCol w:w="4568"/>
        <w:gridCol w:w="3972"/>
        <w:gridCol w:w="3762"/>
        <w:gridCol w:w="3614"/>
      </w:tblGrid>
      <w:tr w:rsidR="005A76D1" w:rsidRPr="00AE595D" w14:paraId="78A4300C" w14:textId="77777777" w:rsidTr="009C7C23">
        <w:trPr>
          <w:cantSplit/>
          <w:trHeight w:val="973"/>
          <w:tblHeader/>
        </w:trPr>
        <w:tc>
          <w:tcPr>
            <w:tcW w:w="0" w:type="pct"/>
            <w:hideMark/>
          </w:tcPr>
          <w:p w14:paraId="77996CCD" w14:textId="0A871DE8" w:rsidR="005A76D1" w:rsidRPr="00AE595D" w:rsidRDefault="005A76D1" w:rsidP="00AE595D">
            <w:pPr>
              <w:spacing w:after="120" w:line="240" w:lineRule="auto"/>
              <w:ind w:left="152"/>
            </w:pPr>
            <w:r w:rsidRPr="00AE595D">
              <w:rPr>
                <w:b/>
                <w:bCs/>
              </w:rPr>
              <w:t xml:space="preserve">Pathway </w:t>
            </w:r>
          </w:p>
        </w:tc>
        <w:tc>
          <w:tcPr>
            <w:tcW w:w="0" w:type="pct"/>
            <w:hideMark/>
          </w:tcPr>
          <w:p w14:paraId="53EFE3F7" w14:textId="77777777" w:rsidR="005A76D1" w:rsidRPr="00AE595D" w:rsidRDefault="005A76D1" w:rsidP="00AE595D">
            <w:pPr>
              <w:spacing w:after="120" w:line="240" w:lineRule="auto"/>
              <w:rPr>
                <w:b/>
                <w:bCs/>
              </w:rPr>
            </w:pPr>
            <w:r w:rsidRPr="00AE595D">
              <w:rPr>
                <w:b/>
                <w:bCs/>
              </w:rPr>
              <w:t>Component</w:t>
            </w:r>
          </w:p>
        </w:tc>
        <w:tc>
          <w:tcPr>
            <w:tcW w:w="0" w:type="pct"/>
            <w:hideMark/>
          </w:tcPr>
          <w:p w14:paraId="35095F5C" w14:textId="1B7D52E6" w:rsidR="00137CA9" w:rsidRDefault="005A76D1" w:rsidP="00AE595D">
            <w:pPr>
              <w:spacing w:after="120" w:line="240" w:lineRule="auto"/>
              <w:rPr>
                <w:b/>
                <w:bCs/>
              </w:rPr>
            </w:pPr>
            <w:r w:rsidRPr="00AE595D">
              <w:rPr>
                <w:b/>
                <w:bCs/>
              </w:rPr>
              <w:t xml:space="preserve">Example Processes </w:t>
            </w:r>
            <w:r w:rsidR="0055266A">
              <w:rPr>
                <w:b/>
                <w:bCs/>
              </w:rPr>
              <w:t>T</w:t>
            </w:r>
            <w:r w:rsidRPr="00AE595D">
              <w:rPr>
                <w:b/>
                <w:bCs/>
              </w:rPr>
              <w:t>o Consider</w:t>
            </w:r>
          </w:p>
          <w:p w14:paraId="439C2417" w14:textId="77777777" w:rsidR="005A76D1" w:rsidRPr="00137CA9" w:rsidRDefault="005A76D1" w:rsidP="00AE595D">
            <w:pPr>
              <w:spacing w:after="120" w:line="240" w:lineRule="auto"/>
            </w:pPr>
            <w:r w:rsidRPr="00137CA9">
              <w:rPr>
                <w:bCs/>
                <w:i/>
              </w:rPr>
              <w:t>As a team, go through each component and discuss what approach best fits your hospital. It may be an option other than what is listed below.</w:t>
            </w:r>
          </w:p>
        </w:tc>
        <w:tc>
          <w:tcPr>
            <w:tcW w:w="0" w:type="pct"/>
            <w:hideMark/>
          </w:tcPr>
          <w:p w14:paraId="58214DC3" w14:textId="77777777" w:rsidR="005A76D1" w:rsidRPr="00AE595D" w:rsidRDefault="005A76D1" w:rsidP="00AE595D">
            <w:pPr>
              <w:spacing w:after="120" w:line="240" w:lineRule="auto"/>
            </w:pPr>
            <w:r w:rsidRPr="00AE595D">
              <w:rPr>
                <w:b/>
                <w:bCs/>
              </w:rPr>
              <w:t>Team Decisions/Notes</w:t>
            </w:r>
          </w:p>
          <w:p w14:paraId="10B10FA7" w14:textId="77777777" w:rsidR="005A76D1" w:rsidRPr="00137CA9" w:rsidRDefault="005A76D1" w:rsidP="00AE595D">
            <w:pPr>
              <w:spacing w:after="120" w:line="240" w:lineRule="auto"/>
              <w:rPr>
                <w:i/>
              </w:rPr>
            </w:pPr>
            <w:r w:rsidRPr="00137CA9">
              <w:rPr>
                <w:bCs/>
                <w:i/>
              </w:rPr>
              <w:t>As a team, note exceptions and contraindications to the treatment or medications.</w:t>
            </w:r>
          </w:p>
        </w:tc>
        <w:tc>
          <w:tcPr>
            <w:tcW w:w="0" w:type="pct"/>
            <w:hideMark/>
          </w:tcPr>
          <w:p w14:paraId="73B23D07" w14:textId="459E98C6" w:rsidR="005A76D1" w:rsidRPr="00AE595D" w:rsidRDefault="00AA140E" w:rsidP="00AE595D">
            <w:pPr>
              <w:spacing w:after="120" w:line="240" w:lineRule="auto"/>
            </w:pPr>
            <w:r>
              <w:rPr>
                <w:b/>
                <w:bCs/>
              </w:rPr>
              <w:t xml:space="preserve">Other Available Resources </w:t>
            </w:r>
            <w:r w:rsidR="0037447A">
              <w:rPr>
                <w:b/>
                <w:bCs/>
              </w:rPr>
              <w:t>and</w:t>
            </w:r>
            <w:r>
              <w:rPr>
                <w:b/>
                <w:bCs/>
              </w:rPr>
              <w:t xml:space="preserve"> Tips </w:t>
            </w:r>
            <w:r w:rsidR="0037447A">
              <w:rPr>
                <w:b/>
                <w:bCs/>
              </w:rPr>
              <w:t>T</w:t>
            </w:r>
            <w:r>
              <w:rPr>
                <w:b/>
                <w:bCs/>
              </w:rPr>
              <w:t>o Consider</w:t>
            </w:r>
          </w:p>
        </w:tc>
        <w:tc>
          <w:tcPr>
            <w:tcW w:w="0" w:type="pct"/>
            <w:hideMark/>
          </w:tcPr>
          <w:p w14:paraId="17DC1AB3" w14:textId="77777777" w:rsidR="009C15D7" w:rsidRDefault="009C15D7" w:rsidP="009C15D7">
            <w:pPr>
              <w:spacing w:after="120" w:line="240" w:lineRule="auto"/>
              <w:rPr>
                <w:b/>
                <w:bCs/>
              </w:rPr>
            </w:pPr>
            <w:r w:rsidRPr="00D63FC9">
              <w:rPr>
                <w:b/>
                <w:bCs/>
              </w:rPr>
              <w:t>ISCR Measures</w:t>
            </w:r>
          </w:p>
          <w:p w14:paraId="71F900E4" w14:textId="77777777" w:rsidR="005A76D1"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121302" w:rsidRPr="00AE595D" w14:paraId="7E561710" w14:textId="77777777" w:rsidTr="009C7C23">
        <w:trPr>
          <w:cantSplit/>
          <w:trHeight w:val="973"/>
        </w:trPr>
        <w:tc>
          <w:tcPr>
            <w:tcW w:w="0" w:type="pct"/>
          </w:tcPr>
          <w:p w14:paraId="4DD43B10" w14:textId="77777777" w:rsidR="00121302" w:rsidRPr="006A1D34" w:rsidRDefault="002E4F5F" w:rsidP="00B06225">
            <w:pPr>
              <w:spacing w:after="120" w:line="240" w:lineRule="auto"/>
              <w:ind w:left="152"/>
              <w:rPr>
                <w:b/>
                <w:bCs/>
              </w:rPr>
            </w:pPr>
            <w:r w:rsidRPr="006A1D34">
              <w:rPr>
                <w:b/>
                <w:bCs/>
              </w:rPr>
              <w:t>All</w:t>
            </w:r>
            <w:r w:rsidR="006A1D34" w:rsidRPr="006A1D34">
              <w:rPr>
                <w:b/>
                <w:bCs/>
              </w:rPr>
              <w:t xml:space="preserve"> ISCR</w:t>
            </w:r>
            <w:r w:rsidR="00607F32" w:rsidRPr="006A1D34">
              <w:rPr>
                <w:b/>
                <w:bCs/>
              </w:rPr>
              <w:t xml:space="preserve"> Pathway</w:t>
            </w:r>
            <w:r w:rsidRPr="006A1D34">
              <w:rPr>
                <w:b/>
                <w:bCs/>
              </w:rPr>
              <w:t>s</w:t>
            </w:r>
          </w:p>
          <w:p w14:paraId="61EAB4A5" w14:textId="77777777" w:rsidR="004A5BED" w:rsidRPr="00AE595D" w:rsidRDefault="004A5BED" w:rsidP="00B06225">
            <w:pPr>
              <w:spacing w:after="120" w:line="240" w:lineRule="auto"/>
              <w:ind w:left="152"/>
              <w:rPr>
                <w:b/>
                <w:bCs/>
              </w:rPr>
            </w:pPr>
          </w:p>
        </w:tc>
        <w:tc>
          <w:tcPr>
            <w:tcW w:w="0" w:type="pct"/>
          </w:tcPr>
          <w:p w14:paraId="042103FF" w14:textId="1F258EF1" w:rsidR="00121302" w:rsidRPr="00AE595D" w:rsidRDefault="00121302" w:rsidP="00B06225">
            <w:pPr>
              <w:spacing w:after="120" w:line="240" w:lineRule="auto"/>
              <w:rPr>
                <w:b/>
                <w:bCs/>
              </w:rPr>
            </w:pPr>
            <w:r w:rsidRPr="00AE595D">
              <w:rPr>
                <w:b/>
                <w:bCs/>
              </w:rPr>
              <w:t>Preop</w:t>
            </w:r>
            <w:r w:rsidR="00D672F9">
              <w:rPr>
                <w:b/>
                <w:bCs/>
              </w:rPr>
              <w:t>erative</w:t>
            </w:r>
            <w:r w:rsidRPr="00AE595D">
              <w:rPr>
                <w:b/>
                <w:bCs/>
              </w:rPr>
              <w:t xml:space="preserve"> Multimodal Pain Management</w:t>
            </w:r>
          </w:p>
        </w:tc>
        <w:tc>
          <w:tcPr>
            <w:tcW w:w="0" w:type="pct"/>
          </w:tcPr>
          <w:p w14:paraId="01A31041" w14:textId="77777777" w:rsidR="00CE05A4" w:rsidRDefault="007D43FC" w:rsidP="007C174E">
            <w:pPr>
              <w:spacing w:after="120" w:line="240" w:lineRule="auto"/>
              <w:rPr>
                <w:rFonts w:eastAsia="Times New Roman" w:cs="Times New Roman"/>
                <w:color w:val="000000"/>
              </w:rPr>
            </w:pPr>
            <w:r w:rsidRPr="00CE05A4">
              <w:rPr>
                <w:rFonts w:eastAsia="Times New Roman" w:cs="Times New Roman"/>
                <w:b/>
                <w:color w:val="000000"/>
              </w:rPr>
              <w:t>Choose your</w:t>
            </w:r>
            <w:r w:rsidR="00121302" w:rsidRPr="00CE05A4">
              <w:rPr>
                <w:rFonts w:eastAsia="Times New Roman" w:cs="Times New Roman"/>
                <w:b/>
                <w:color w:val="000000"/>
              </w:rPr>
              <w:t xml:space="preserve"> approach:</w:t>
            </w:r>
            <w:r w:rsidR="00121302" w:rsidRPr="00AE595D">
              <w:rPr>
                <w:rFonts w:eastAsia="Times New Roman" w:cs="Times New Roman"/>
                <w:color w:val="000000"/>
              </w:rPr>
              <w:t xml:space="preserve"> </w:t>
            </w:r>
          </w:p>
          <w:p w14:paraId="67B32D15" w14:textId="77777777" w:rsidR="00121302" w:rsidRPr="00AE595D" w:rsidRDefault="00121302" w:rsidP="00AE595D">
            <w:pPr>
              <w:spacing w:after="120" w:line="240" w:lineRule="auto"/>
              <w:rPr>
                <w:rFonts w:eastAsia="Times New Roman" w:cs="Times New Roman"/>
                <w:color w:val="000000"/>
              </w:rPr>
            </w:pPr>
            <w:r w:rsidRPr="00AE595D">
              <w:rPr>
                <w:rFonts w:eastAsia="Times New Roman" w:cs="Times New Roman"/>
                <w:color w:val="000000"/>
              </w:rPr>
              <w:t>If no contraindications,</w:t>
            </w:r>
            <w:r w:rsidRPr="00AE595D">
              <w:rPr>
                <w:rFonts w:eastAsia="Times New Roman" w:cs="Times New Roman"/>
                <w:b/>
                <w:color w:val="000000"/>
              </w:rPr>
              <w:t xml:space="preserve"> give all of the following</w:t>
            </w:r>
            <w:r w:rsidRPr="00AE595D">
              <w:rPr>
                <w:rFonts w:eastAsia="Times New Roman" w:cs="Times New Roman"/>
                <w:color w:val="000000"/>
              </w:rPr>
              <w:t xml:space="preserve"> </w:t>
            </w:r>
            <w:r w:rsidRPr="00AE595D">
              <w:rPr>
                <w:rFonts w:eastAsia="Times New Roman" w:cs="Times New Roman"/>
                <w:b/>
                <w:bCs/>
                <w:color w:val="000000"/>
              </w:rPr>
              <w:t>analgesics,</w:t>
            </w:r>
            <w:r w:rsidRPr="00AE595D">
              <w:rPr>
                <w:rFonts w:eastAsia="Times New Roman" w:cs="Times New Roman"/>
                <w:color w:val="000000"/>
              </w:rPr>
              <w:t xml:space="preserve"> but choose the dosing:</w:t>
            </w:r>
          </w:p>
          <w:p w14:paraId="5FD5638F" w14:textId="61ABBC13" w:rsidR="00121302" w:rsidRPr="00AE595D" w:rsidRDefault="00121302" w:rsidP="007F7E50">
            <w:pPr>
              <w:numPr>
                <w:ilvl w:val="0"/>
                <w:numId w:val="4"/>
              </w:numPr>
              <w:spacing w:after="120" w:line="240" w:lineRule="auto"/>
              <w:rPr>
                <w:rFonts w:eastAsia="Times New Roman" w:cs="Times New Roman"/>
                <w:color w:val="000000"/>
              </w:rPr>
            </w:pPr>
            <w:r w:rsidRPr="00AE595D">
              <w:rPr>
                <w:rFonts w:eastAsia="Times New Roman" w:cs="Times New Roman"/>
                <w:color w:val="000000"/>
              </w:rPr>
              <w:t xml:space="preserve">Acetaminophen </w:t>
            </w:r>
            <w:r w:rsidR="0005466C">
              <w:rPr>
                <w:rFonts w:eastAsia="Times New Roman" w:cs="Times New Roman"/>
                <w:color w:val="000000"/>
              </w:rPr>
              <w:t>– by mouth (</w:t>
            </w:r>
            <w:r w:rsidRPr="00AE595D">
              <w:rPr>
                <w:rFonts w:eastAsia="Times New Roman" w:cs="Times New Roman"/>
                <w:color w:val="000000"/>
              </w:rPr>
              <w:t>PO</w:t>
            </w:r>
            <w:r w:rsidR="0005466C">
              <w:rPr>
                <w:rFonts w:eastAsia="Times New Roman" w:cs="Times New Roman"/>
                <w:color w:val="000000"/>
              </w:rPr>
              <w:t>)</w:t>
            </w:r>
            <w:r w:rsidRPr="00AE595D">
              <w:rPr>
                <w:rFonts w:eastAsia="Times New Roman" w:cs="Times New Roman"/>
                <w:color w:val="000000"/>
              </w:rPr>
              <w:t xml:space="preserve"> </w:t>
            </w:r>
          </w:p>
          <w:p w14:paraId="18593D98" w14:textId="7057CB54" w:rsidR="00121302" w:rsidRPr="00AE595D" w:rsidRDefault="00121302" w:rsidP="007F7E50">
            <w:pPr>
              <w:numPr>
                <w:ilvl w:val="0"/>
                <w:numId w:val="4"/>
              </w:numPr>
              <w:spacing w:after="120" w:line="240" w:lineRule="auto"/>
              <w:rPr>
                <w:rFonts w:eastAsia="Times New Roman" w:cs="Times New Roman"/>
                <w:color w:val="000000"/>
              </w:rPr>
            </w:pPr>
            <w:r w:rsidRPr="00AE595D">
              <w:rPr>
                <w:rFonts w:eastAsia="Times New Roman" w:cs="Times New Roman"/>
                <w:color w:val="000000"/>
              </w:rPr>
              <w:t xml:space="preserve">Cyclo-oxygenase-2 inhibitor [e.g., </w:t>
            </w:r>
            <w:r w:rsidR="00600957">
              <w:rPr>
                <w:rFonts w:eastAsia="Times New Roman" w:cs="Times New Roman"/>
                <w:color w:val="000000"/>
              </w:rPr>
              <w:t>c</w:t>
            </w:r>
            <w:r w:rsidR="00600957" w:rsidRPr="00AE595D">
              <w:rPr>
                <w:rFonts w:eastAsia="Times New Roman" w:cs="Times New Roman"/>
                <w:color w:val="000000"/>
              </w:rPr>
              <w:t>elecoxib</w:t>
            </w:r>
            <w:r w:rsidRPr="00AE595D">
              <w:rPr>
                <w:rFonts w:eastAsia="Times New Roman" w:cs="Times New Roman"/>
                <w:color w:val="000000"/>
              </w:rPr>
              <w:t xml:space="preserve">] PO </w:t>
            </w:r>
          </w:p>
          <w:p w14:paraId="329C9F20" w14:textId="61F514D9" w:rsidR="00121302" w:rsidRPr="00AE595D" w:rsidRDefault="00AD23D9" w:rsidP="007F7E50">
            <w:pPr>
              <w:numPr>
                <w:ilvl w:val="0"/>
                <w:numId w:val="4"/>
              </w:numPr>
              <w:spacing w:after="120" w:line="240" w:lineRule="auto"/>
              <w:rPr>
                <w:rFonts w:eastAsia="Times New Roman" w:cs="Times New Roman"/>
                <w:i/>
                <w:color w:val="000000"/>
              </w:rPr>
            </w:pPr>
            <w:r>
              <w:rPr>
                <w:rFonts w:eastAsia="Times New Roman" w:cs="Times New Roman"/>
                <w:color w:val="000000"/>
              </w:rPr>
              <w:t xml:space="preserve">Consider </w:t>
            </w:r>
            <w:r w:rsidR="008374B3">
              <w:rPr>
                <w:rFonts w:eastAsia="Times New Roman" w:cs="Times New Roman"/>
                <w:color w:val="000000"/>
              </w:rPr>
              <w:t>g</w:t>
            </w:r>
            <w:r w:rsidR="00121302" w:rsidRPr="00AE595D">
              <w:rPr>
                <w:rFonts w:eastAsia="Times New Roman" w:cs="Times New Roman"/>
                <w:color w:val="000000"/>
              </w:rPr>
              <w:t xml:space="preserve">abapentin PO or </w:t>
            </w:r>
            <w:r w:rsidR="008374B3">
              <w:rPr>
                <w:rFonts w:eastAsia="Times New Roman" w:cs="Times New Roman"/>
                <w:color w:val="000000"/>
              </w:rPr>
              <w:t>p</w:t>
            </w:r>
            <w:r w:rsidR="00121302" w:rsidRPr="00AE595D">
              <w:rPr>
                <w:rFonts w:eastAsia="Times New Roman" w:cs="Times New Roman"/>
                <w:color w:val="000000"/>
              </w:rPr>
              <w:t xml:space="preserve">regabalin PO </w:t>
            </w:r>
            <w:r w:rsidR="007979E8" w:rsidRPr="00AE595D">
              <w:rPr>
                <w:rFonts w:eastAsia="Times New Roman" w:cs="Times New Roman"/>
                <w:i/>
                <w:color w:val="000000"/>
              </w:rPr>
              <w:t>(</w:t>
            </w:r>
            <w:r w:rsidR="007979E8" w:rsidRPr="00AE595D">
              <w:rPr>
                <w:bCs/>
                <w:i/>
              </w:rPr>
              <w:t>Avoid gabapentin in elderly patients</w:t>
            </w:r>
            <w:r>
              <w:rPr>
                <w:bCs/>
                <w:i/>
              </w:rPr>
              <w:t>, patients with chronic kidney disease,</w:t>
            </w:r>
            <w:r w:rsidR="007979E8" w:rsidRPr="00AE595D">
              <w:rPr>
                <w:bCs/>
                <w:i/>
              </w:rPr>
              <w:t xml:space="preserve"> and patients at risk for respiratory depression as it can promote excessive drowsiness)</w:t>
            </w:r>
          </w:p>
          <w:p w14:paraId="3D915D3A" w14:textId="77777777" w:rsidR="00121302" w:rsidRPr="00AE595D" w:rsidRDefault="00121302" w:rsidP="00AE595D">
            <w:pPr>
              <w:spacing w:after="120" w:line="240" w:lineRule="auto"/>
              <w:ind w:left="720"/>
              <w:rPr>
                <w:rFonts w:eastAsia="Times New Roman" w:cs="Times New Roman"/>
                <w:b/>
                <w:bCs/>
                <w:color w:val="000000"/>
              </w:rPr>
            </w:pPr>
          </w:p>
          <w:p w14:paraId="0CB2424E" w14:textId="77777777" w:rsidR="00121302" w:rsidRPr="00147ABD" w:rsidRDefault="00121302" w:rsidP="00AE595D">
            <w:pPr>
              <w:spacing w:after="120" w:line="240" w:lineRule="auto"/>
              <w:rPr>
                <w:rFonts w:eastAsia="Times New Roman" w:cs="Times New Roman"/>
                <w:i/>
                <w:color w:val="000000"/>
                <w:u w:val="single"/>
              </w:rPr>
            </w:pPr>
            <w:r w:rsidRPr="00147ABD">
              <w:rPr>
                <w:rFonts w:eastAsia="Times New Roman" w:cs="Times New Roman"/>
                <w:bCs/>
                <w:i/>
                <w:color w:val="000000"/>
                <w:u w:val="single"/>
              </w:rPr>
              <w:t xml:space="preserve">Optional for </w:t>
            </w:r>
            <w:r w:rsidR="002E4F5F" w:rsidRPr="00147ABD">
              <w:rPr>
                <w:rFonts w:eastAsia="Times New Roman" w:cs="Times New Roman"/>
                <w:bCs/>
                <w:i/>
                <w:color w:val="000000"/>
                <w:u w:val="single"/>
              </w:rPr>
              <w:t>any procedure with planned</w:t>
            </w:r>
            <w:r w:rsidRPr="00147ABD">
              <w:rPr>
                <w:rFonts w:eastAsia="Times New Roman" w:cs="Times New Roman"/>
                <w:bCs/>
                <w:i/>
                <w:color w:val="000000"/>
                <w:u w:val="single"/>
              </w:rPr>
              <w:t xml:space="preserve"> bowel resection: </w:t>
            </w:r>
          </w:p>
          <w:p w14:paraId="2DA661B6" w14:textId="732048D4" w:rsidR="00121302" w:rsidRPr="00AE595D" w:rsidRDefault="00121302" w:rsidP="007F7E50">
            <w:pPr>
              <w:pStyle w:val="ListParagraph"/>
              <w:numPr>
                <w:ilvl w:val="0"/>
                <w:numId w:val="21"/>
              </w:numPr>
              <w:spacing w:after="120" w:line="240" w:lineRule="auto"/>
              <w:contextualSpacing w:val="0"/>
              <w:rPr>
                <w:rFonts w:eastAsia="Times New Roman" w:cs="Times New Roman"/>
                <w:color w:val="000000"/>
              </w:rPr>
            </w:pPr>
            <w:r w:rsidRPr="00AE595D">
              <w:rPr>
                <w:rFonts w:eastAsia="Times New Roman" w:cs="Times New Roman"/>
                <w:color w:val="000000"/>
              </w:rPr>
              <w:t>Mu opioid antagonist [e.g.</w:t>
            </w:r>
            <w:r w:rsidR="00B6052D">
              <w:rPr>
                <w:rFonts w:eastAsia="Times New Roman" w:cs="Times New Roman"/>
                <w:color w:val="000000"/>
              </w:rPr>
              <w:t>,</w:t>
            </w:r>
            <w:r w:rsidRPr="00AE595D">
              <w:rPr>
                <w:rFonts w:eastAsia="Times New Roman" w:cs="Times New Roman"/>
                <w:color w:val="000000"/>
              </w:rPr>
              <w:t xml:space="preserve"> </w:t>
            </w:r>
            <w:proofErr w:type="spellStart"/>
            <w:r w:rsidR="00D672F9">
              <w:rPr>
                <w:rFonts w:eastAsia="Times New Roman" w:cs="Times New Roman"/>
                <w:color w:val="000000"/>
              </w:rPr>
              <w:t>a</w:t>
            </w:r>
            <w:r w:rsidRPr="00AE595D">
              <w:rPr>
                <w:rFonts w:eastAsia="Times New Roman" w:cs="Times New Roman"/>
                <w:color w:val="000000"/>
              </w:rPr>
              <w:t>lvimopan</w:t>
            </w:r>
            <w:proofErr w:type="spellEnd"/>
            <w:r w:rsidRPr="00AE595D">
              <w:rPr>
                <w:rFonts w:eastAsia="Times New Roman" w:cs="Times New Roman"/>
                <w:color w:val="000000"/>
              </w:rPr>
              <w:t xml:space="preserve"> 30 minutes to 5 hours prior to surgery] if bowel resection planned</w:t>
            </w:r>
          </w:p>
          <w:p w14:paraId="62FF3F82" w14:textId="77777777" w:rsidR="00121302" w:rsidRPr="00AE595D" w:rsidRDefault="00121302" w:rsidP="00AE595D">
            <w:pPr>
              <w:spacing w:after="120" w:line="240" w:lineRule="auto"/>
              <w:rPr>
                <w:b/>
                <w:bCs/>
              </w:rPr>
            </w:pPr>
          </w:p>
          <w:p w14:paraId="7534477F" w14:textId="77777777" w:rsidR="007979E8" w:rsidRPr="00AE595D" w:rsidRDefault="007979E8" w:rsidP="009C15D7">
            <w:pPr>
              <w:pStyle w:val="ListParagraph"/>
              <w:spacing w:after="120" w:line="240" w:lineRule="auto"/>
              <w:contextualSpacing w:val="0"/>
              <w:rPr>
                <w:bCs/>
              </w:rPr>
            </w:pPr>
          </w:p>
        </w:tc>
        <w:tc>
          <w:tcPr>
            <w:tcW w:w="0" w:type="pct"/>
          </w:tcPr>
          <w:p w14:paraId="71A7DB34" w14:textId="7184034E" w:rsidR="00121302" w:rsidRPr="00AE595D" w:rsidRDefault="00001AAC" w:rsidP="00AE595D">
            <w:pPr>
              <w:spacing w:after="120" w:line="240" w:lineRule="auto"/>
              <w:rPr>
                <w:b/>
                <w:bCs/>
              </w:rPr>
            </w:pPr>
            <w:r w:rsidRPr="007C7841">
              <w:rPr>
                <w:rFonts w:eastAsia="Times New Roman" w:cs="Times New Roman"/>
                <w:i/>
                <w:color w:val="000000"/>
              </w:rPr>
              <w:t xml:space="preserve">Enter </w:t>
            </w:r>
            <w:r w:rsidR="00D672F9">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4F9154B3" w14:textId="122DA299" w:rsidR="00121302" w:rsidRPr="00AE595D" w:rsidRDefault="003023A5" w:rsidP="00A71027">
            <w:pPr>
              <w:spacing w:after="120" w:line="240" w:lineRule="auto"/>
              <w:rPr>
                <w:rFonts w:eastAsia="Times New Roman" w:cs="Times New Roman"/>
                <w:color w:val="000000"/>
              </w:rPr>
            </w:pPr>
            <w:r>
              <w:rPr>
                <w:rFonts w:eastAsia="Times New Roman" w:cs="Times New Roman"/>
                <w:b/>
              </w:rPr>
              <w:t>Tip</w:t>
            </w:r>
            <w:r w:rsidR="00121302" w:rsidRPr="00AE595D">
              <w:rPr>
                <w:rFonts w:eastAsia="Times New Roman" w:cs="Times New Roman"/>
                <w:b/>
              </w:rPr>
              <w:t>:</w:t>
            </w:r>
            <w:r w:rsidR="00121302" w:rsidRPr="00AE595D">
              <w:rPr>
                <w:rFonts w:eastAsia="Times New Roman" w:cs="Times New Roman"/>
              </w:rPr>
              <w:t xml:space="preserve"> Engage with</w:t>
            </w:r>
            <w:r w:rsidR="00121302" w:rsidRPr="00AE595D">
              <w:rPr>
                <w:rFonts w:eastAsia="Times New Roman" w:cs="Times New Roman"/>
                <w:color w:val="000000"/>
              </w:rPr>
              <w:t xml:space="preserve"> anesthesiology colleagues and preoperative area nurses to improve your compliance of preoperative medication bundle</w:t>
            </w:r>
            <w:r w:rsidR="008A4CA8">
              <w:rPr>
                <w:rFonts w:eastAsia="Times New Roman" w:cs="Times New Roman"/>
                <w:color w:val="000000"/>
              </w:rPr>
              <w:t>.</w:t>
            </w:r>
          </w:p>
          <w:p w14:paraId="156B25C8" w14:textId="7BC39248" w:rsidR="00121302" w:rsidRPr="00AE595D" w:rsidRDefault="003023A5" w:rsidP="00A71027">
            <w:pPr>
              <w:spacing w:after="120" w:line="240" w:lineRule="auto"/>
              <w:rPr>
                <w:rFonts w:eastAsia="Times New Roman" w:cs="Times New Roman"/>
              </w:rPr>
            </w:pPr>
            <w:r>
              <w:rPr>
                <w:rFonts w:eastAsia="Times New Roman" w:cs="Times New Roman"/>
                <w:b/>
              </w:rPr>
              <w:t>Tip</w:t>
            </w:r>
            <w:r w:rsidR="00121302" w:rsidRPr="00AE595D">
              <w:rPr>
                <w:rFonts w:eastAsia="Times New Roman" w:cs="Times New Roman"/>
              </w:rPr>
              <w:t>: Gabapentin can sometimes be sedating.</w:t>
            </w:r>
          </w:p>
          <w:p w14:paraId="4A951976" w14:textId="18CFD808" w:rsidR="00121302" w:rsidRPr="00AE595D" w:rsidRDefault="003023A5" w:rsidP="00A71027">
            <w:pPr>
              <w:spacing w:after="120" w:line="240" w:lineRule="auto"/>
              <w:rPr>
                <w:rFonts w:eastAsia="Times New Roman" w:cs="Times New Roman"/>
              </w:rPr>
            </w:pPr>
            <w:r>
              <w:rPr>
                <w:rFonts w:eastAsia="Times New Roman" w:cs="Times New Roman"/>
                <w:b/>
              </w:rPr>
              <w:t>Tip</w:t>
            </w:r>
            <w:r w:rsidR="00121302" w:rsidRPr="00AE595D">
              <w:rPr>
                <w:rFonts w:eastAsia="Times New Roman" w:cs="Times New Roman"/>
              </w:rPr>
              <w:t>: Review literature on Mu opioid antagonist before considering adding to pathway to ensure it will provide benefit to your patient population</w:t>
            </w:r>
            <w:r w:rsidR="008A4CA8">
              <w:rPr>
                <w:rFonts w:eastAsia="Times New Roman" w:cs="Times New Roman"/>
              </w:rPr>
              <w:t>.</w:t>
            </w:r>
          </w:p>
          <w:p w14:paraId="54FE995C" w14:textId="3896DBD6" w:rsidR="00121302" w:rsidRPr="00AE595D" w:rsidRDefault="003023A5" w:rsidP="00A71027">
            <w:pPr>
              <w:spacing w:after="120" w:line="240" w:lineRule="auto"/>
              <w:rPr>
                <w:bCs/>
              </w:rPr>
            </w:pPr>
            <w:r>
              <w:rPr>
                <w:b/>
                <w:bCs/>
              </w:rPr>
              <w:t>Tip</w:t>
            </w:r>
            <w:r w:rsidR="00121302" w:rsidRPr="00AE595D">
              <w:rPr>
                <w:b/>
                <w:bCs/>
              </w:rPr>
              <w:t xml:space="preserve">: </w:t>
            </w:r>
            <w:r w:rsidR="00121302" w:rsidRPr="00AE595D">
              <w:rPr>
                <w:bCs/>
              </w:rPr>
              <w:t xml:space="preserve">The </w:t>
            </w:r>
            <w:r w:rsidR="00A9659F">
              <w:rPr>
                <w:bCs/>
              </w:rPr>
              <w:t>electronic health record system</w:t>
            </w:r>
            <w:r w:rsidR="00121302" w:rsidRPr="00AE595D">
              <w:rPr>
                <w:bCs/>
              </w:rPr>
              <w:t xml:space="preserve"> can be helpful to ensure a standard bundle of medications.</w:t>
            </w:r>
          </w:p>
          <w:p w14:paraId="464E41ED" w14:textId="77777777" w:rsidR="00121302" w:rsidRPr="00AE595D" w:rsidRDefault="00121302" w:rsidP="00A71027">
            <w:pPr>
              <w:spacing w:after="120" w:line="240" w:lineRule="auto"/>
              <w:rPr>
                <w:bCs/>
              </w:rPr>
            </w:pPr>
          </w:p>
          <w:p w14:paraId="43440354" w14:textId="77777777" w:rsidR="00121302" w:rsidRPr="00AE595D" w:rsidRDefault="00121302" w:rsidP="00A71027">
            <w:pPr>
              <w:spacing w:after="120" w:line="240" w:lineRule="auto"/>
              <w:rPr>
                <w:b/>
                <w:bCs/>
              </w:rPr>
            </w:pPr>
          </w:p>
        </w:tc>
        <w:tc>
          <w:tcPr>
            <w:tcW w:w="0" w:type="pct"/>
          </w:tcPr>
          <w:p w14:paraId="23408C60" w14:textId="77777777" w:rsidR="00121302" w:rsidRPr="00584831" w:rsidRDefault="00584831" w:rsidP="00AE595D">
            <w:pPr>
              <w:spacing w:after="120" w:line="240" w:lineRule="auto"/>
              <w:rPr>
                <w:bCs/>
              </w:rPr>
            </w:pPr>
            <w:r w:rsidRPr="00584831">
              <w:rPr>
                <w:bCs/>
              </w:rPr>
              <w:t>Multimodal pain management</w:t>
            </w:r>
          </w:p>
        </w:tc>
      </w:tr>
    </w:tbl>
    <w:p w14:paraId="47BFB8FF" w14:textId="7EE96CCB" w:rsidR="006F533C" w:rsidRDefault="00D672F9" w:rsidP="009C7C23">
      <w:bookmarkStart w:id="19" w:name="_Hlk111212807"/>
      <w:r w:rsidRPr="00AE595D">
        <w:t>Abbreviations:</w:t>
      </w:r>
      <w:r>
        <w:t xml:space="preserve"> ISCR = Improving Surgical Care and Recovery</w:t>
      </w:r>
    </w:p>
    <w:p w14:paraId="2128F5F7" w14:textId="77777777" w:rsidR="006F533C" w:rsidRDefault="006F533C">
      <w:pPr>
        <w:spacing w:after="160" w:line="259" w:lineRule="auto"/>
        <w:ind w:left="360" w:hanging="360"/>
        <w:rPr>
          <w:b/>
          <w:bCs/>
          <w:sz w:val="28"/>
          <w:szCs w:val="28"/>
        </w:rPr>
      </w:pPr>
      <w:r>
        <w:br w:type="page"/>
      </w:r>
    </w:p>
    <w:p w14:paraId="3B70CAB7" w14:textId="56720F14" w:rsidR="005A6A31" w:rsidRDefault="005A6A31">
      <w:pPr>
        <w:pStyle w:val="Heading2"/>
      </w:pPr>
      <w:bookmarkStart w:id="20" w:name="_Toc117000802"/>
      <w:r w:rsidRPr="00AE595D">
        <w:lastRenderedPageBreak/>
        <w:t>Preoperative</w:t>
      </w:r>
      <w:r w:rsidR="00607F32" w:rsidRPr="00607F32">
        <w:t xml:space="preserve"> </w:t>
      </w:r>
      <w:r w:rsidR="00D672F9">
        <w:t>and</w:t>
      </w:r>
      <w:r w:rsidR="006241AD">
        <w:t xml:space="preserve"> Intraoperative </w:t>
      </w:r>
      <w:r w:rsidR="00B6052D">
        <w:t>A</w:t>
      </w:r>
      <w:r w:rsidR="00607F32" w:rsidRPr="00607F32">
        <w:t xml:space="preserve">ntiemetics and </w:t>
      </w:r>
      <w:r w:rsidR="009F043E">
        <w:t>A</w:t>
      </w:r>
      <w:r w:rsidR="009F043E" w:rsidRPr="00607F32">
        <w:t xml:space="preserve">djunct </w:t>
      </w:r>
      <w:r w:rsidR="009F043E">
        <w:t>A</w:t>
      </w:r>
      <w:r w:rsidR="009F043E" w:rsidRPr="00607F32">
        <w:t>gents</w:t>
      </w:r>
      <w:bookmarkEnd w:id="20"/>
    </w:p>
    <w:p w14:paraId="711D9AFB" w14:textId="70B9588A" w:rsidR="00894729" w:rsidRPr="00894729" w:rsidRDefault="00894729" w:rsidP="00894729">
      <w:pPr>
        <w:pStyle w:val="BodyText1"/>
      </w:pPr>
      <w:r w:rsidRPr="00894729">
        <w:t>Routine administration of antiemetic agents and other adjuncts should be considered in patients without contraindications to reduce</w:t>
      </w:r>
      <w:r w:rsidR="00457115">
        <w:t xml:space="preserve"> the</w:t>
      </w:r>
      <w:r w:rsidRPr="00894729">
        <w:t xml:space="preserve"> incidence of post-anesthesia nausea and vomiting.</w:t>
      </w:r>
    </w:p>
    <w:tbl>
      <w:tblPr>
        <w:tblStyle w:val="GridTable1Light1"/>
        <w:tblW w:w="5000" w:type="pct"/>
        <w:tblLook w:val="0600" w:firstRow="0" w:lastRow="0" w:firstColumn="0" w:lastColumn="0" w:noHBand="1" w:noVBand="1"/>
      </w:tblPr>
      <w:tblGrid>
        <w:gridCol w:w="1879"/>
        <w:gridCol w:w="1893"/>
        <w:gridCol w:w="8374"/>
        <w:gridCol w:w="3330"/>
        <w:gridCol w:w="3243"/>
        <w:gridCol w:w="4311"/>
      </w:tblGrid>
      <w:tr w:rsidR="005A76D1" w:rsidRPr="00623847" w14:paraId="7DF58A47" w14:textId="77777777" w:rsidTr="00623847">
        <w:trPr>
          <w:cantSplit/>
          <w:trHeight w:val="973"/>
          <w:tblHeader/>
        </w:trPr>
        <w:tc>
          <w:tcPr>
            <w:tcW w:w="408" w:type="pct"/>
            <w:hideMark/>
          </w:tcPr>
          <w:bookmarkEnd w:id="19"/>
          <w:p w14:paraId="17CF7A7C" w14:textId="42081BB8" w:rsidR="005A76D1" w:rsidRPr="00623847" w:rsidRDefault="005A76D1" w:rsidP="00623847">
            <w:pPr>
              <w:pStyle w:val="TableParagraph"/>
              <w:rPr>
                <w:rStyle w:val="Strong"/>
              </w:rPr>
            </w:pPr>
            <w:r w:rsidRPr="00623847">
              <w:rPr>
                <w:rStyle w:val="Strong"/>
              </w:rPr>
              <w:t xml:space="preserve">Pathway </w:t>
            </w:r>
          </w:p>
        </w:tc>
        <w:tc>
          <w:tcPr>
            <w:tcW w:w="411" w:type="pct"/>
            <w:hideMark/>
          </w:tcPr>
          <w:p w14:paraId="0D9A9EB9" w14:textId="77777777" w:rsidR="005A76D1" w:rsidRPr="00623847" w:rsidRDefault="005A76D1" w:rsidP="00623847">
            <w:pPr>
              <w:pStyle w:val="TableParagraph"/>
              <w:rPr>
                <w:rStyle w:val="Strong"/>
              </w:rPr>
            </w:pPr>
            <w:r w:rsidRPr="00623847">
              <w:rPr>
                <w:rStyle w:val="Strong"/>
              </w:rPr>
              <w:t>Component</w:t>
            </w:r>
          </w:p>
        </w:tc>
        <w:tc>
          <w:tcPr>
            <w:tcW w:w="1818" w:type="pct"/>
            <w:hideMark/>
          </w:tcPr>
          <w:p w14:paraId="7FC7D11B" w14:textId="75CCB42C" w:rsidR="007C174E" w:rsidRDefault="005A76D1" w:rsidP="00623847">
            <w:pPr>
              <w:pStyle w:val="TableParagraph"/>
              <w:rPr>
                <w:rStyle w:val="Strong"/>
              </w:rPr>
            </w:pPr>
            <w:r w:rsidRPr="00623847">
              <w:rPr>
                <w:rStyle w:val="Strong"/>
              </w:rPr>
              <w:t xml:space="preserve">Example Processes </w:t>
            </w:r>
            <w:r w:rsidR="00D672F9">
              <w:rPr>
                <w:rStyle w:val="Strong"/>
              </w:rPr>
              <w:t>T</w:t>
            </w:r>
            <w:r w:rsidRPr="00623847">
              <w:rPr>
                <w:rStyle w:val="Strong"/>
              </w:rPr>
              <w:t>o Consider</w:t>
            </w:r>
          </w:p>
          <w:p w14:paraId="2FADF7F7" w14:textId="77777777" w:rsidR="005A76D1" w:rsidRPr="007C174E" w:rsidRDefault="005A76D1" w:rsidP="00623847">
            <w:pPr>
              <w:pStyle w:val="TableParagraph"/>
              <w:rPr>
                <w:rStyle w:val="Strong"/>
                <w:b w:val="0"/>
                <w:i/>
              </w:rPr>
            </w:pPr>
            <w:r w:rsidRPr="007C174E">
              <w:rPr>
                <w:rStyle w:val="Strong"/>
                <w:b w:val="0"/>
                <w:i/>
              </w:rPr>
              <w:t>As a team, go through each component and discuss what approach best fits your hospital. It may be an option other than what is listed below.</w:t>
            </w:r>
          </w:p>
        </w:tc>
        <w:tc>
          <w:tcPr>
            <w:tcW w:w="723" w:type="pct"/>
            <w:hideMark/>
          </w:tcPr>
          <w:p w14:paraId="400E7BA6" w14:textId="77777777" w:rsidR="005A76D1" w:rsidRPr="00623847" w:rsidRDefault="005A76D1" w:rsidP="00623847">
            <w:pPr>
              <w:pStyle w:val="TableParagraph"/>
              <w:rPr>
                <w:rStyle w:val="Strong"/>
              </w:rPr>
            </w:pPr>
            <w:r w:rsidRPr="00623847">
              <w:rPr>
                <w:rStyle w:val="Strong"/>
              </w:rPr>
              <w:t>Team Decisions/Notes</w:t>
            </w:r>
          </w:p>
          <w:p w14:paraId="06AA5CA2" w14:textId="77777777" w:rsidR="005A76D1" w:rsidRPr="007C174E" w:rsidRDefault="005A76D1" w:rsidP="00623847">
            <w:pPr>
              <w:pStyle w:val="TableParagraph"/>
              <w:rPr>
                <w:rStyle w:val="Strong"/>
                <w:b w:val="0"/>
                <w:i/>
              </w:rPr>
            </w:pPr>
            <w:r w:rsidRPr="007C174E">
              <w:rPr>
                <w:rStyle w:val="Strong"/>
                <w:b w:val="0"/>
                <w:i/>
              </w:rPr>
              <w:t>As a team, note exceptions and contraindications to the treatment or medications.</w:t>
            </w:r>
          </w:p>
        </w:tc>
        <w:tc>
          <w:tcPr>
            <w:tcW w:w="704" w:type="pct"/>
            <w:hideMark/>
          </w:tcPr>
          <w:p w14:paraId="50B077B6" w14:textId="41F86ADC" w:rsidR="005A76D1" w:rsidRPr="00623847" w:rsidRDefault="00AA140E" w:rsidP="00623847">
            <w:pPr>
              <w:pStyle w:val="TableParagraph"/>
              <w:rPr>
                <w:rStyle w:val="Strong"/>
              </w:rPr>
            </w:pPr>
            <w:r>
              <w:rPr>
                <w:rStyle w:val="Strong"/>
              </w:rPr>
              <w:t xml:space="preserve">Other Available Resources </w:t>
            </w:r>
            <w:r w:rsidR="00D672F9">
              <w:rPr>
                <w:rStyle w:val="Strong"/>
              </w:rPr>
              <w:t>and</w:t>
            </w:r>
            <w:r>
              <w:rPr>
                <w:rStyle w:val="Strong"/>
              </w:rPr>
              <w:t xml:space="preserve"> Tips </w:t>
            </w:r>
            <w:r w:rsidR="00D672F9">
              <w:rPr>
                <w:rStyle w:val="Strong"/>
              </w:rPr>
              <w:t>T</w:t>
            </w:r>
            <w:r>
              <w:rPr>
                <w:rStyle w:val="Strong"/>
              </w:rPr>
              <w:t>o Consider</w:t>
            </w:r>
          </w:p>
        </w:tc>
        <w:tc>
          <w:tcPr>
            <w:tcW w:w="936" w:type="pct"/>
            <w:hideMark/>
          </w:tcPr>
          <w:p w14:paraId="1CED5830" w14:textId="77777777" w:rsidR="009C15D7" w:rsidRDefault="009C15D7" w:rsidP="009C15D7">
            <w:pPr>
              <w:spacing w:after="120" w:line="240" w:lineRule="auto"/>
              <w:rPr>
                <w:b/>
                <w:bCs/>
              </w:rPr>
            </w:pPr>
            <w:r w:rsidRPr="00D63FC9">
              <w:rPr>
                <w:b/>
                <w:bCs/>
              </w:rPr>
              <w:t>ISCR Measures</w:t>
            </w:r>
          </w:p>
          <w:p w14:paraId="585CDF76" w14:textId="77777777" w:rsidR="005A76D1" w:rsidRPr="00623847" w:rsidRDefault="009C15D7" w:rsidP="009C15D7">
            <w:pPr>
              <w:pStyle w:val="TableParagraph"/>
              <w:rPr>
                <w:rStyle w:val="Strong"/>
              </w:rPr>
            </w:pPr>
            <w:r w:rsidRPr="009733EE">
              <w:rPr>
                <w:bCs/>
                <w:i/>
              </w:rPr>
              <w:t>As a team, decide on specific and standardized measures you can track at your hospital. It may be helpful to record your definitions here.</w:t>
            </w:r>
          </w:p>
        </w:tc>
      </w:tr>
      <w:tr w:rsidR="005956DE" w:rsidRPr="00AE595D" w14:paraId="599DD01B" w14:textId="77777777" w:rsidTr="00623847">
        <w:trPr>
          <w:cantSplit/>
          <w:trHeight w:val="334"/>
        </w:trPr>
        <w:tc>
          <w:tcPr>
            <w:tcW w:w="408" w:type="pct"/>
            <w:hideMark/>
          </w:tcPr>
          <w:p w14:paraId="4FC6D2E2" w14:textId="77777777" w:rsidR="005956DE" w:rsidRPr="007C174E" w:rsidRDefault="00A71027" w:rsidP="00623847">
            <w:pPr>
              <w:pStyle w:val="TableParagraph"/>
              <w:rPr>
                <w:b/>
              </w:rPr>
            </w:pPr>
            <w:r w:rsidRPr="007C174E">
              <w:rPr>
                <w:b/>
              </w:rPr>
              <w:t>All</w:t>
            </w:r>
            <w:r w:rsidR="00607F32" w:rsidRPr="007C174E">
              <w:rPr>
                <w:b/>
              </w:rPr>
              <w:t xml:space="preserve"> </w:t>
            </w:r>
            <w:r w:rsidR="004F6155" w:rsidRPr="007C174E">
              <w:rPr>
                <w:b/>
              </w:rPr>
              <w:t xml:space="preserve">ISCR </w:t>
            </w:r>
            <w:r w:rsidR="00607F32" w:rsidRPr="007C174E">
              <w:rPr>
                <w:b/>
              </w:rPr>
              <w:t>Pathway</w:t>
            </w:r>
            <w:r w:rsidRPr="007C174E">
              <w:rPr>
                <w:b/>
              </w:rPr>
              <w:t>s</w:t>
            </w:r>
          </w:p>
        </w:tc>
        <w:tc>
          <w:tcPr>
            <w:tcW w:w="411" w:type="pct"/>
          </w:tcPr>
          <w:p w14:paraId="19950324" w14:textId="5594C09E" w:rsidR="005956DE" w:rsidRPr="007C174E" w:rsidRDefault="005956DE" w:rsidP="00623847">
            <w:pPr>
              <w:pStyle w:val="TableParagraph"/>
              <w:rPr>
                <w:b/>
              </w:rPr>
            </w:pPr>
            <w:r w:rsidRPr="007C174E">
              <w:rPr>
                <w:b/>
              </w:rPr>
              <w:t xml:space="preserve">Antiemetics and </w:t>
            </w:r>
            <w:r w:rsidR="00D35F82">
              <w:rPr>
                <w:b/>
              </w:rPr>
              <w:t>A</w:t>
            </w:r>
            <w:r w:rsidRPr="007C174E">
              <w:rPr>
                <w:b/>
              </w:rPr>
              <w:t xml:space="preserve">djunct </w:t>
            </w:r>
            <w:r w:rsidR="00D35F82">
              <w:rPr>
                <w:b/>
              </w:rPr>
              <w:t>A</w:t>
            </w:r>
            <w:r w:rsidRPr="007C174E">
              <w:rPr>
                <w:b/>
              </w:rPr>
              <w:t>gents</w:t>
            </w:r>
          </w:p>
        </w:tc>
        <w:tc>
          <w:tcPr>
            <w:tcW w:w="1818" w:type="pct"/>
          </w:tcPr>
          <w:p w14:paraId="04A64A28" w14:textId="77777777" w:rsidR="003D486E" w:rsidRPr="007C174E" w:rsidRDefault="003D486E" w:rsidP="007C174E">
            <w:pPr>
              <w:pStyle w:val="TableParagraph"/>
              <w:spacing w:after="120" w:line="240" w:lineRule="auto"/>
              <w:rPr>
                <w:rFonts w:eastAsia="Times New Roman" w:cs="Times New Roman"/>
                <w:b/>
                <w:color w:val="000000"/>
              </w:rPr>
            </w:pPr>
            <w:r w:rsidRPr="007C174E">
              <w:rPr>
                <w:rFonts w:eastAsia="Times New Roman" w:cs="Times New Roman"/>
                <w:b/>
                <w:color w:val="000000"/>
              </w:rPr>
              <w:t>For nausea (choose one or multiple)</w:t>
            </w:r>
            <w:r w:rsidR="007C174E" w:rsidRPr="007C174E">
              <w:rPr>
                <w:rFonts w:eastAsia="Times New Roman" w:cs="Times New Roman"/>
                <w:b/>
                <w:color w:val="000000"/>
              </w:rPr>
              <w:t>:</w:t>
            </w:r>
          </w:p>
          <w:p w14:paraId="7A779E58" w14:textId="6F19C932" w:rsidR="007979E8" w:rsidRPr="00AE595D" w:rsidRDefault="007979E8" w:rsidP="00623847">
            <w:pPr>
              <w:pStyle w:val="Bullet1"/>
            </w:pPr>
            <w:r w:rsidRPr="00AE595D">
              <w:rPr>
                <w:u w:val="single"/>
              </w:rPr>
              <w:t>Preoperative</w:t>
            </w:r>
            <w:r w:rsidRPr="00AE595D">
              <w:t xml:space="preserve"> </w:t>
            </w:r>
            <w:r w:rsidR="005616F4" w:rsidRPr="00AE595D">
              <w:t>s</w:t>
            </w:r>
            <w:r w:rsidRPr="00AE595D">
              <w:t>copolamine patch once</w:t>
            </w:r>
            <w:r w:rsidR="00B6052D">
              <w:t>. R</w:t>
            </w:r>
            <w:r w:rsidRPr="00AE595D">
              <w:t xml:space="preserve">emove 24 to 72 hours after surgery </w:t>
            </w:r>
            <w:r w:rsidR="00D672F9">
              <w:t>(</w:t>
            </w:r>
            <w:r w:rsidRPr="00AE595D">
              <w:t>postoperative nausea and vomiting</w:t>
            </w:r>
            <w:r w:rsidR="00D672F9">
              <w:t>)</w:t>
            </w:r>
            <w:r w:rsidRPr="00AE595D">
              <w:t xml:space="preserve">. </w:t>
            </w:r>
            <w:r w:rsidRPr="00AE595D">
              <w:rPr>
                <w:i/>
              </w:rPr>
              <w:t xml:space="preserve">Do not use if the patient is 65 years </w:t>
            </w:r>
            <w:r w:rsidR="00B43992">
              <w:rPr>
                <w:i/>
              </w:rPr>
              <w:t xml:space="preserve">of age or </w:t>
            </w:r>
            <w:r w:rsidRPr="00AE595D">
              <w:rPr>
                <w:i/>
              </w:rPr>
              <w:t>old</w:t>
            </w:r>
            <w:r w:rsidR="00B43992">
              <w:rPr>
                <w:i/>
              </w:rPr>
              <w:t>er</w:t>
            </w:r>
          </w:p>
          <w:p w14:paraId="5A02908D" w14:textId="076BEFE7" w:rsidR="007979E8" w:rsidRPr="00AE595D" w:rsidRDefault="007979E8" w:rsidP="00623847">
            <w:pPr>
              <w:pStyle w:val="Bullet1"/>
            </w:pPr>
            <w:r w:rsidRPr="00AE595D">
              <w:rPr>
                <w:u w:val="single"/>
              </w:rPr>
              <w:t>Intraoperative</w:t>
            </w:r>
            <w:r w:rsidRPr="00AE595D">
              <w:t xml:space="preserve"> antiemetic </w:t>
            </w:r>
            <w:r w:rsidR="00D672F9">
              <w:t>(</w:t>
            </w:r>
            <w:r w:rsidRPr="00AE595D">
              <w:t>e.g.,</w:t>
            </w:r>
            <w:r w:rsidR="00B43992" w:rsidRPr="00AE595D">
              <w:t xml:space="preserve"> dexamethasone prior to incision</w:t>
            </w:r>
            <w:r w:rsidRPr="00AE595D">
              <w:t xml:space="preserve"> </w:t>
            </w:r>
            <w:r w:rsidR="00B43992" w:rsidRPr="00AE595D">
              <w:t xml:space="preserve">and/or </w:t>
            </w:r>
            <w:r w:rsidRPr="00AE595D">
              <w:t>ondansetron 45</w:t>
            </w:r>
            <w:r w:rsidR="00D672F9">
              <w:rPr>
                <w:rFonts w:cstheme="minorHAnsi"/>
              </w:rPr>
              <w:t>–</w:t>
            </w:r>
            <w:r w:rsidRPr="00AE595D">
              <w:t>60 min</w:t>
            </w:r>
            <w:r w:rsidR="0005466C">
              <w:t>utes</w:t>
            </w:r>
            <w:r w:rsidRPr="00AE595D">
              <w:t xml:space="preserve"> prior to skin closure</w:t>
            </w:r>
            <w:r w:rsidR="00D672F9">
              <w:t>)</w:t>
            </w:r>
          </w:p>
          <w:p w14:paraId="2F70515B" w14:textId="48D54E67" w:rsidR="007979E8" w:rsidRPr="00AE595D" w:rsidRDefault="007979E8" w:rsidP="00623847">
            <w:pPr>
              <w:pStyle w:val="Bullet1"/>
            </w:pPr>
            <w:r w:rsidRPr="00AE595D">
              <w:rPr>
                <w:u w:val="single"/>
              </w:rPr>
              <w:t>Intraoperative</w:t>
            </w:r>
            <w:r w:rsidRPr="00AE595D">
              <w:t xml:space="preserve"> </w:t>
            </w:r>
            <w:r w:rsidR="00EB2453">
              <w:t>avoidance</w:t>
            </w:r>
            <w:r w:rsidR="00EB2453" w:rsidRPr="00AE595D">
              <w:t xml:space="preserve"> </w:t>
            </w:r>
            <w:r w:rsidRPr="00AE595D">
              <w:t>of nitrous oxide</w:t>
            </w:r>
          </w:p>
          <w:p w14:paraId="02EDEBA0" w14:textId="77777777" w:rsidR="007979E8" w:rsidRPr="00623847" w:rsidRDefault="007979E8" w:rsidP="00623847">
            <w:pPr>
              <w:pStyle w:val="Bullet1"/>
              <w:numPr>
                <w:ilvl w:val="0"/>
                <w:numId w:val="0"/>
              </w:numPr>
              <w:ind w:left="720"/>
              <w:rPr>
                <w:i/>
              </w:rPr>
            </w:pPr>
            <w:r w:rsidRPr="00623847">
              <w:rPr>
                <w:i/>
              </w:rPr>
              <w:t>OR</w:t>
            </w:r>
          </w:p>
          <w:p w14:paraId="7C750B40" w14:textId="044BECC1" w:rsidR="005956DE" w:rsidRPr="00AE595D" w:rsidRDefault="007979E8" w:rsidP="00623847">
            <w:pPr>
              <w:pStyle w:val="Bullet1"/>
            </w:pPr>
            <w:r w:rsidRPr="00AE595D">
              <w:rPr>
                <w:u w:val="single"/>
              </w:rPr>
              <w:t>Intraoperative</w:t>
            </w:r>
            <w:r w:rsidRPr="00AE595D">
              <w:t xml:space="preserve"> total intravenous anesthetic approach with propofol</w:t>
            </w:r>
            <w:r w:rsidR="00B43992">
              <w:t>-b</w:t>
            </w:r>
            <w:r w:rsidRPr="00AE595D">
              <w:t>ased regimen</w:t>
            </w:r>
          </w:p>
        </w:tc>
        <w:tc>
          <w:tcPr>
            <w:tcW w:w="723" w:type="pct"/>
          </w:tcPr>
          <w:p w14:paraId="313D83F3" w14:textId="2421136B" w:rsidR="005956DE" w:rsidRPr="00AE595D" w:rsidRDefault="00001AAC" w:rsidP="00623847">
            <w:pPr>
              <w:pStyle w:val="TableParagraph"/>
              <w:rPr>
                <w:rFonts w:eastAsia="Times New Roman" w:cs="Times New Roman"/>
                <w:color w:val="60497A"/>
              </w:rPr>
            </w:pPr>
            <w:r w:rsidRPr="007C7841">
              <w:rPr>
                <w:rFonts w:eastAsia="Times New Roman" w:cs="Times New Roman"/>
                <w:i/>
                <w:color w:val="000000"/>
              </w:rPr>
              <w:t xml:space="preserve">Enter </w:t>
            </w:r>
            <w:r w:rsidR="00D672F9">
              <w:rPr>
                <w:rFonts w:eastAsia="Times New Roman" w:cs="Times New Roman"/>
                <w:i/>
                <w:color w:val="000000"/>
              </w:rPr>
              <w:t xml:space="preserve">team decisions/notes </w:t>
            </w:r>
            <w:r w:rsidRPr="007C7841">
              <w:rPr>
                <w:rFonts w:eastAsia="Times New Roman" w:cs="Times New Roman"/>
                <w:i/>
                <w:color w:val="000000"/>
              </w:rPr>
              <w:t>here</w:t>
            </w:r>
          </w:p>
        </w:tc>
        <w:tc>
          <w:tcPr>
            <w:tcW w:w="704" w:type="pct"/>
          </w:tcPr>
          <w:p w14:paraId="1FFBC8D6" w14:textId="77777777" w:rsidR="005956DE" w:rsidRPr="00AE595D" w:rsidRDefault="003C4780" w:rsidP="00623847">
            <w:pPr>
              <w:pStyle w:val="TableParagraph"/>
              <w:rPr>
                <w:rFonts w:eastAsia="Times New Roman" w:cs="Times New Roman"/>
              </w:rPr>
            </w:pPr>
            <w:r w:rsidRPr="00890EAD">
              <w:rPr>
                <w:rFonts w:eastAsia="Times New Roman" w:cs="Times New Roman"/>
                <w:b/>
              </w:rPr>
              <w:t>Resource:</w:t>
            </w:r>
            <w:r>
              <w:rPr>
                <w:rFonts w:eastAsia="Times New Roman" w:cs="Times New Roman"/>
              </w:rPr>
              <w:t xml:space="preserve"> Fourth Consensus </w:t>
            </w:r>
            <w:r w:rsidRPr="003C4780">
              <w:rPr>
                <w:rFonts w:eastAsia="Times New Roman" w:cs="Times New Roman"/>
              </w:rPr>
              <w:t>Guidelines for the Management of Postoperative Nausea and Vomiting</w:t>
            </w:r>
            <w:r w:rsidRPr="00890EAD">
              <w:rPr>
                <w:rFonts w:eastAsia="Times New Roman" w:cs="Times New Roman"/>
                <w:vertAlign w:val="superscript"/>
              </w:rPr>
              <w:t>1</w:t>
            </w:r>
          </w:p>
        </w:tc>
        <w:tc>
          <w:tcPr>
            <w:tcW w:w="936" w:type="pct"/>
          </w:tcPr>
          <w:p w14:paraId="19547F21" w14:textId="52DF1DF3" w:rsidR="005956DE" w:rsidRPr="00AE595D" w:rsidRDefault="00701874" w:rsidP="00623847">
            <w:pPr>
              <w:pStyle w:val="TableParagraph"/>
              <w:rPr>
                <w:rFonts w:eastAsia="Times New Roman" w:cs="Times New Roman"/>
                <w:color w:val="000000"/>
              </w:rPr>
            </w:pPr>
            <w:r>
              <w:rPr>
                <w:rFonts w:eastAsia="Times New Roman" w:cs="Times New Roman"/>
                <w:color w:val="000000"/>
              </w:rPr>
              <w:t xml:space="preserve"> </w:t>
            </w:r>
            <w:r w:rsidR="00AD23D9">
              <w:rPr>
                <w:rFonts w:eastAsia="Times New Roman" w:cs="Times New Roman"/>
                <w:color w:val="000000"/>
              </w:rPr>
              <w:t>Preop</w:t>
            </w:r>
            <w:r w:rsidR="00D672F9">
              <w:rPr>
                <w:rFonts w:eastAsia="Times New Roman" w:cs="Times New Roman"/>
                <w:color w:val="000000"/>
              </w:rPr>
              <w:t>erative</w:t>
            </w:r>
            <w:r w:rsidR="00AD23D9">
              <w:rPr>
                <w:rFonts w:eastAsia="Times New Roman" w:cs="Times New Roman"/>
                <w:color w:val="000000"/>
              </w:rPr>
              <w:t xml:space="preserve"> </w:t>
            </w:r>
            <w:r w:rsidR="005616F4">
              <w:rPr>
                <w:rFonts w:eastAsia="Times New Roman" w:cs="Times New Roman"/>
                <w:color w:val="000000"/>
              </w:rPr>
              <w:t>antiemetic prophylaxis</w:t>
            </w:r>
            <w:r w:rsidR="005616F4" w:rsidRPr="00584831">
              <w:rPr>
                <w:rFonts w:eastAsia="Times New Roman" w:cs="Times New Roman"/>
                <w:color w:val="000000"/>
              </w:rPr>
              <w:t xml:space="preserve"> </w:t>
            </w:r>
          </w:p>
        </w:tc>
      </w:tr>
    </w:tbl>
    <w:p w14:paraId="6109BBA8" w14:textId="579CA1D7" w:rsidR="00D672F9" w:rsidRDefault="00D672F9" w:rsidP="00D033DE">
      <w:pPr>
        <w:spacing w:after="120" w:line="240" w:lineRule="auto"/>
        <w:ind w:left="180" w:hanging="180"/>
      </w:pPr>
      <w:r w:rsidRPr="00AE595D">
        <w:t>Abbreviations:</w:t>
      </w:r>
      <w:r>
        <w:t xml:space="preserve"> ISCR = Improving Surgical Care and Recovery</w:t>
      </w:r>
    </w:p>
    <w:p w14:paraId="164581B7" w14:textId="548CD37C" w:rsidR="006A1585" w:rsidRPr="00890EAD" w:rsidRDefault="003C4780" w:rsidP="00D033DE">
      <w:pPr>
        <w:spacing w:after="120" w:line="240" w:lineRule="auto"/>
        <w:ind w:left="180" w:hanging="180"/>
      </w:pPr>
      <w:r w:rsidRPr="00890EAD">
        <w:t xml:space="preserve">1 Gan TJ, </w:t>
      </w:r>
      <w:proofErr w:type="spellStart"/>
      <w:r w:rsidRPr="00890EAD">
        <w:t>Belani</w:t>
      </w:r>
      <w:proofErr w:type="spellEnd"/>
      <w:r w:rsidRPr="00890EAD">
        <w:t xml:space="preserve"> KG, </w:t>
      </w:r>
      <w:proofErr w:type="spellStart"/>
      <w:r w:rsidRPr="00890EAD">
        <w:t>Bergese</w:t>
      </w:r>
      <w:proofErr w:type="spellEnd"/>
      <w:r w:rsidRPr="00890EAD">
        <w:t xml:space="preserve"> S, et al. Fourth Consensus Guidelines for the Management of Postoperative Nausea and Vomiting. </w:t>
      </w:r>
      <w:proofErr w:type="spellStart"/>
      <w:r w:rsidRPr="00890EAD">
        <w:t>Anesth</w:t>
      </w:r>
      <w:proofErr w:type="spellEnd"/>
      <w:r w:rsidRPr="00890EAD">
        <w:t xml:space="preserve"> </w:t>
      </w:r>
      <w:proofErr w:type="spellStart"/>
      <w:r w:rsidRPr="00890EAD">
        <w:t>Analg</w:t>
      </w:r>
      <w:proofErr w:type="spellEnd"/>
      <w:r w:rsidRPr="00890EAD">
        <w:t xml:space="preserve">. 2020 Aug;131(2):411-48. </w:t>
      </w:r>
      <w:proofErr w:type="spellStart"/>
      <w:r w:rsidRPr="00890EAD">
        <w:t>doi</w:t>
      </w:r>
      <w:proofErr w:type="spellEnd"/>
      <w:r w:rsidRPr="00890EAD">
        <w:t xml:space="preserve">: 10.1213/ANE.0000000000004833. Erratum in: </w:t>
      </w:r>
      <w:proofErr w:type="spellStart"/>
      <w:r w:rsidRPr="00890EAD">
        <w:t>Anesth</w:t>
      </w:r>
      <w:proofErr w:type="spellEnd"/>
      <w:r w:rsidRPr="00890EAD">
        <w:t xml:space="preserve"> </w:t>
      </w:r>
      <w:proofErr w:type="spellStart"/>
      <w:r w:rsidRPr="00890EAD">
        <w:t>Analg</w:t>
      </w:r>
      <w:proofErr w:type="spellEnd"/>
      <w:r w:rsidRPr="00890EAD">
        <w:t>. 2020 Nov;131(5):e241. PMID: 32467512.</w:t>
      </w:r>
    </w:p>
    <w:p w14:paraId="038DFE29" w14:textId="77777777" w:rsidR="006F533C" w:rsidRDefault="006F533C">
      <w:pPr>
        <w:spacing w:after="160" w:line="259" w:lineRule="auto"/>
        <w:ind w:left="360" w:hanging="360"/>
        <w:rPr>
          <w:b/>
          <w:bCs/>
          <w:sz w:val="28"/>
          <w:szCs w:val="28"/>
        </w:rPr>
      </w:pPr>
      <w:r>
        <w:br w:type="page"/>
      </w:r>
    </w:p>
    <w:p w14:paraId="795C129A" w14:textId="77777777" w:rsidR="007C4CBE" w:rsidRDefault="007C4CBE">
      <w:pPr>
        <w:pStyle w:val="Heading2"/>
      </w:pPr>
      <w:bookmarkStart w:id="21" w:name="_Toc117000803"/>
      <w:r w:rsidRPr="00AE595D">
        <w:lastRenderedPageBreak/>
        <w:t>Intraoperative</w:t>
      </w:r>
      <w:r w:rsidR="000D02E2" w:rsidRPr="000D02E2">
        <w:t xml:space="preserve"> Prophylactic Antibiotics</w:t>
      </w:r>
      <w:bookmarkEnd w:id="21"/>
    </w:p>
    <w:p w14:paraId="5C42A87C" w14:textId="03F6588F" w:rsidR="000D02E2" w:rsidRDefault="000D02E2" w:rsidP="000D02E2">
      <w:pPr>
        <w:pStyle w:val="BodyText1"/>
      </w:pPr>
      <w:r>
        <w:t>Prophylactic antibiotics should be administered within 60 minutes prior to incision or 120 minutes for vancomycin and fluoroquinolones. Selection should be based on surgical site infection (SSI) pathogens commonly associated with the specific procedure type, local antimicrobial resistance patterns, and a balance of benefits v</w:t>
      </w:r>
      <w:r w:rsidR="00E26F78">
        <w:t>ersu</w:t>
      </w:r>
      <w:r>
        <w:t xml:space="preserve">s potential risks associated with the antibiotic (e.g., risk for </w:t>
      </w:r>
      <w:proofErr w:type="spellStart"/>
      <w:r w:rsidRPr="009C7C23">
        <w:rPr>
          <w:i/>
          <w:iCs/>
        </w:rPr>
        <w:t>C</w:t>
      </w:r>
      <w:r w:rsidR="00E26F78" w:rsidRPr="009C7C23">
        <w:rPr>
          <w:i/>
          <w:iCs/>
        </w:rPr>
        <w:t>lostridioides</w:t>
      </w:r>
      <w:proofErr w:type="spellEnd"/>
      <w:r w:rsidRPr="009C7C23">
        <w:rPr>
          <w:i/>
          <w:iCs/>
        </w:rPr>
        <w:t xml:space="preserve"> difficile</w:t>
      </w:r>
      <w:r>
        <w:t xml:space="preserve"> </w:t>
      </w:r>
      <w:r w:rsidR="00E26F78">
        <w:t>(</w:t>
      </w:r>
      <w:r w:rsidR="00E26F78" w:rsidRPr="009C7C23">
        <w:rPr>
          <w:i/>
          <w:iCs/>
        </w:rPr>
        <w:t>C. diff</w:t>
      </w:r>
      <w:r w:rsidR="00E26F78">
        <w:rPr>
          <w:i/>
          <w:iCs/>
        </w:rPr>
        <w:t>icile</w:t>
      </w:r>
      <w:r w:rsidR="00E26F78">
        <w:t xml:space="preserve">) </w:t>
      </w:r>
      <w:r>
        <w:t>infection or emergence of multidrug</w:t>
      </w:r>
      <w:r w:rsidR="00E26F78">
        <w:t>-</w:t>
      </w:r>
      <w:r>
        <w:t>resistant organisms). Intraoperative redosing and weight-based dosing should follow guideline recommendations.</w:t>
      </w:r>
    </w:p>
    <w:p w14:paraId="044697B5" w14:textId="2AB53D4E" w:rsidR="000D02E2" w:rsidRDefault="000D02E2" w:rsidP="000D02E2">
      <w:pPr>
        <w:pStyle w:val="Bullet1"/>
      </w:pPr>
      <w:r w:rsidRPr="00A466F9">
        <w:rPr>
          <w:i/>
        </w:rPr>
        <w:t>Considerations for orthopedic procedures:</w:t>
      </w:r>
      <w:r>
        <w:t xml:space="preserve"> First-generation cephalosporins are the most commonly studied. Alternative regimens may be needed for institutions with highly resistant organisms, such as methicillin</w:t>
      </w:r>
      <w:r w:rsidR="00E26F78">
        <w:t>-</w:t>
      </w:r>
      <w:r>
        <w:t xml:space="preserve">resistant </w:t>
      </w:r>
      <w:r w:rsidRPr="009C7C23">
        <w:rPr>
          <w:i/>
          <w:iCs/>
        </w:rPr>
        <w:t>Staphylococcus aureus</w:t>
      </w:r>
      <w:r>
        <w:t xml:space="preserve"> (MRSA) or </w:t>
      </w:r>
      <w:r w:rsidRPr="009C7C23">
        <w:rPr>
          <w:i/>
          <w:iCs/>
        </w:rPr>
        <w:t>C. difficile</w:t>
      </w:r>
      <w:r>
        <w:t>. Vancomycin should be included with cefazolin or used as an alternative agent in institutions that have a high prevalence of MRSA SSIs and for patients who are known to be colonized with MRSA. There is no evidence to support the use of prophylactic antibiotics more than 24 hours postoperatively.</w:t>
      </w:r>
    </w:p>
    <w:p w14:paraId="2336BB7E" w14:textId="05FDAD56" w:rsidR="000D02E2" w:rsidRDefault="000D02E2" w:rsidP="000D02E2">
      <w:pPr>
        <w:pStyle w:val="Bullet1"/>
      </w:pPr>
      <w:r w:rsidRPr="00A466F9">
        <w:rPr>
          <w:i/>
        </w:rPr>
        <w:t xml:space="preserve">Considerations for </w:t>
      </w:r>
      <w:r w:rsidR="00D7245F">
        <w:rPr>
          <w:i/>
        </w:rPr>
        <w:t>gynecologic</w:t>
      </w:r>
      <w:r w:rsidRPr="00A466F9">
        <w:rPr>
          <w:i/>
        </w:rPr>
        <w:t xml:space="preserve"> procedures:</w:t>
      </w:r>
      <w:r>
        <w:t xml:space="preserve"> First-generation cephalosporins are the most commonly used in gynecologic procedures. There is no evidence to support the use of prophylactic antibiotics more than 24 hours postoperatively.  </w:t>
      </w:r>
    </w:p>
    <w:p w14:paraId="05C3A838" w14:textId="4D6D30BC" w:rsidR="000D02E2" w:rsidRPr="00877C2A" w:rsidRDefault="000D02E2" w:rsidP="009F40B9">
      <w:pPr>
        <w:pStyle w:val="Bullet1"/>
        <w:rPr>
          <w:b/>
        </w:rPr>
      </w:pPr>
      <w:r w:rsidRPr="00877C2A">
        <w:rPr>
          <w:i/>
        </w:rPr>
        <w:t xml:space="preserve">Considerations for </w:t>
      </w:r>
      <w:r w:rsidR="003F6934">
        <w:rPr>
          <w:i/>
        </w:rPr>
        <w:t>emergency general surgery</w:t>
      </w:r>
      <w:r w:rsidR="00D7245F">
        <w:rPr>
          <w:i/>
        </w:rPr>
        <w:t xml:space="preserve"> (</w:t>
      </w:r>
      <w:r w:rsidRPr="00877C2A">
        <w:rPr>
          <w:i/>
        </w:rPr>
        <w:t>major abdominal procedures</w:t>
      </w:r>
      <w:r w:rsidR="00D7245F">
        <w:rPr>
          <w:i/>
        </w:rPr>
        <w:t>)</w:t>
      </w:r>
      <w:r w:rsidRPr="00877C2A">
        <w:rPr>
          <w:i/>
        </w:rPr>
        <w:t>:</w:t>
      </w:r>
      <w:r w:rsidRPr="00877C2A">
        <w:t xml:space="preserve"> </w:t>
      </w:r>
      <w:r w:rsidR="00B43992">
        <w:t>F</w:t>
      </w:r>
      <w:r w:rsidR="00B43992" w:rsidRPr="00877C2A">
        <w:t>or all patients not already receiving antibiotics prior to surgery</w:t>
      </w:r>
      <w:r w:rsidR="00B43992">
        <w:t>, a</w:t>
      </w:r>
      <w:r w:rsidRPr="00877C2A">
        <w:t xml:space="preserve">ntibiotics should be </w:t>
      </w:r>
      <w:r w:rsidR="00B43992">
        <w:t xml:space="preserve">started </w:t>
      </w:r>
      <w:r w:rsidRPr="00877C2A">
        <w:t>within 1 hour prior to incision</w:t>
      </w:r>
      <w:r w:rsidR="00B43992">
        <w:t xml:space="preserve">. If using </w:t>
      </w:r>
      <w:r w:rsidRPr="00877C2A">
        <w:t xml:space="preserve">vancomycin </w:t>
      </w:r>
      <w:r w:rsidR="00B43992">
        <w:t xml:space="preserve">or </w:t>
      </w:r>
      <w:r w:rsidRPr="00877C2A">
        <w:t>fluoroquinolones</w:t>
      </w:r>
      <w:r w:rsidR="00B43992">
        <w:t xml:space="preserve"> in such patients, start </w:t>
      </w:r>
      <w:r w:rsidR="00B43992" w:rsidRPr="00877C2A">
        <w:t>2 hours prior to incision</w:t>
      </w:r>
      <w:r w:rsidR="00B43992">
        <w:t xml:space="preserve">. </w:t>
      </w:r>
      <w:r w:rsidRPr="00877C2A">
        <w:t>Antibiotics should be discontinued at the end of the procedure except in the case of complicated intra-abdominal infection</w:t>
      </w:r>
      <w:r w:rsidR="003F6934">
        <w:t>,</w:t>
      </w:r>
      <w:r w:rsidRPr="00877C2A">
        <w:t xml:space="preserve"> which should be treated with a short course (4 days) following adequate source control.</w:t>
      </w:r>
      <w:r w:rsidRPr="00877C2A">
        <w:rPr>
          <w:vertAlign w:val="superscript"/>
        </w:rPr>
        <w:t>1</w:t>
      </w:r>
      <w:r w:rsidR="0019570D" w:rsidRPr="00877C2A">
        <w:rPr>
          <w:vertAlign w:val="superscript"/>
        </w:rPr>
        <w:t>,2</w:t>
      </w:r>
    </w:p>
    <w:tbl>
      <w:tblPr>
        <w:tblStyle w:val="GridTable1Light1"/>
        <w:tblW w:w="5000" w:type="pct"/>
        <w:tblLook w:val="0600" w:firstRow="0" w:lastRow="0" w:firstColumn="0" w:lastColumn="0" w:noHBand="1" w:noVBand="1"/>
      </w:tblPr>
      <w:tblGrid>
        <w:gridCol w:w="1381"/>
        <w:gridCol w:w="1347"/>
        <w:gridCol w:w="7470"/>
        <w:gridCol w:w="2846"/>
        <w:gridCol w:w="7199"/>
        <w:gridCol w:w="2787"/>
      </w:tblGrid>
      <w:tr w:rsidR="009C15D7" w:rsidRPr="00AE595D" w14:paraId="16A42C30" w14:textId="77777777" w:rsidTr="007A7448">
        <w:trPr>
          <w:cantSplit/>
          <w:trHeight w:val="973"/>
          <w:tblHeader/>
        </w:trPr>
        <w:tc>
          <w:tcPr>
            <w:tcW w:w="300" w:type="pct"/>
            <w:hideMark/>
          </w:tcPr>
          <w:p w14:paraId="3E191ED9" w14:textId="5B293F78" w:rsidR="00C924CF" w:rsidRPr="00AE595D" w:rsidRDefault="00C924CF" w:rsidP="00AE595D">
            <w:pPr>
              <w:spacing w:after="120" w:line="240" w:lineRule="auto"/>
              <w:ind w:left="159"/>
            </w:pPr>
            <w:r w:rsidRPr="00AE595D">
              <w:rPr>
                <w:b/>
                <w:bCs/>
              </w:rPr>
              <w:t xml:space="preserve">Pathway </w:t>
            </w:r>
          </w:p>
        </w:tc>
        <w:tc>
          <w:tcPr>
            <w:tcW w:w="292" w:type="pct"/>
            <w:hideMark/>
          </w:tcPr>
          <w:p w14:paraId="64C12EA4" w14:textId="77777777" w:rsidR="00C924CF" w:rsidRPr="00AE595D" w:rsidRDefault="00C924CF" w:rsidP="00AE595D">
            <w:pPr>
              <w:spacing w:after="120" w:line="240" w:lineRule="auto"/>
              <w:rPr>
                <w:b/>
                <w:bCs/>
              </w:rPr>
            </w:pPr>
            <w:r w:rsidRPr="00AE595D">
              <w:rPr>
                <w:b/>
                <w:bCs/>
              </w:rPr>
              <w:t>Component</w:t>
            </w:r>
          </w:p>
        </w:tc>
        <w:tc>
          <w:tcPr>
            <w:tcW w:w="1622" w:type="pct"/>
            <w:hideMark/>
          </w:tcPr>
          <w:p w14:paraId="6227322D" w14:textId="70F373BC" w:rsidR="00147ABD" w:rsidRDefault="00C924CF" w:rsidP="00AE595D">
            <w:pPr>
              <w:spacing w:after="120" w:line="240" w:lineRule="auto"/>
              <w:rPr>
                <w:b/>
                <w:bCs/>
              </w:rPr>
            </w:pPr>
            <w:r w:rsidRPr="00AE595D">
              <w:rPr>
                <w:b/>
                <w:bCs/>
              </w:rPr>
              <w:t xml:space="preserve">Example Processes </w:t>
            </w:r>
            <w:r w:rsidR="003F6934">
              <w:rPr>
                <w:b/>
                <w:bCs/>
              </w:rPr>
              <w:t>T</w:t>
            </w:r>
            <w:r w:rsidRPr="00AE595D">
              <w:rPr>
                <w:b/>
                <w:bCs/>
              </w:rPr>
              <w:t>o Consider</w:t>
            </w:r>
          </w:p>
          <w:p w14:paraId="14BCD812" w14:textId="77777777" w:rsidR="00C924CF" w:rsidRPr="00147ABD" w:rsidRDefault="00C924CF" w:rsidP="00AE595D">
            <w:pPr>
              <w:spacing w:after="120" w:line="240" w:lineRule="auto"/>
              <w:rPr>
                <w:i/>
              </w:rPr>
            </w:pPr>
            <w:r w:rsidRPr="00147ABD">
              <w:rPr>
                <w:bCs/>
                <w:i/>
              </w:rPr>
              <w:t>As a team, go through each component and discuss what approach best fits your hospital. It may be an option other than what is listed below.</w:t>
            </w:r>
          </w:p>
        </w:tc>
        <w:tc>
          <w:tcPr>
            <w:tcW w:w="618" w:type="pct"/>
            <w:hideMark/>
          </w:tcPr>
          <w:p w14:paraId="2BB9D759" w14:textId="77777777" w:rsidR="00C924CF" w:rsidRPr="00AE595D" w:rsidRDefault="00C924CF" w:rsidP="00AE595D">
            <w:pPr>
              <w:spacing w:after="120" w:line="240" w:lineRule="auto"/>
            </w:pPr>
            <w:r w:rsidRPr="00AE595D">
              <w:rPr>
                <w:b/>
                <w:bCs/>
              </w:rPr>
              <w:t>Team Decisions/Notes</w:t>
            </w:r>
          </w:p>
          <w:p w14:paraId="13873CA3" w14:textId="77777777" w:rsidR="00C924CF" w:rsidRPr="00147ABD" w:rsidRDefault="00C924CF" w:rsidP="00AE595D">
            <w:pPr>
              <w:spacing w:after="120" w:line="240" w:lineRule="auto"/>
              <w:rPr>
                <w:i/>
              </w:rPr>
            </w:pPr>
            <w:r w:rsidRPr="00147ABD">
              <w:rPr>
                <w:bCs/>
                <w:i/>
              </w:rPr>
              <w:t>As a team, note exceptions and contraindications to the treatment or medications.</w:t>
            </w:r>
          </w:p>
        </w:tc>
        <w:tc>
          <w:tcPr>
            <w:tcW w:w="1563" w:type="pct"/>
            <w:hideMark/>
          </w:tcPr>
          <w:p w14:paraId="462E01BF" w14:textId="4D83E901" w:rsidR="00C924CF" w:rsidRPr="00AE595D" w:rsidRDefault="00AA140E" w:rsidP="00AE595D">
            <w:pPr>
              <w:spacing w:after="120" w:line="240" w:lineRule="auto"/>
            </w:pPr>
            <w:r>
              <w:rPr>
                <w:b/>
                <w:bCs/>
              </w:rPr>
              <w:t xml:space="preserve">Other Available Resources </w:t>
            </w:r>
            <w:r w:rsidR="003F6934">
              <w:rPr>
                <w:b/>
                <w:bCs/>
              </w:rPr>
              <w:t>and</w:t>
            </w:r>
            <w:r>
              <w:rPr>
                <w:b/>
                <w:bCs/>
              </w:rPr>
              <w:t xml:space="preserve"> Tips </w:t>
            </w:r>
            <w:r w:rsidR="003F6934">
              <w:rPr>
                <w:b/>
                <w:bCs/>
              </w:rPr>
              <w:t>T</w:t>
            </w:r>
            <w:r>
              <w:rPr>
                <w:b/>
                <w:bCs/>
              </w:rPr>
              <w:t>o Consider</w:t>
            </w:r>
          </w:p>
        </w:tc>
        <w:tc>
          <w:tcPr>
            <w:tcW w:w="605" w:type="pct"/>
            <w:hideMark/>
          </w:tcPr>
          <w:p w14:paraId="6E05CFA1" w14:textId="77777777" w:rsidR="009C15D7" w:rsidRDefault="009C15D7" w:rsidP="009C15D7">
            <w:pPr>
              <w:spacing w:after="120" w:line="240" w:lineRule="auto"/>
              <w:rPr>
                <w:b/>
                <w:bCs/>
              </w:rPr>
            </w:pPr>
            <w:r w:rsidRPr="00D63FC9">
              <w:rPr>
                <w:b/>
                <w:bCs/>
              </w:rPr>
              <w:t>ISCR Measures</w:t>
            </w:r>
          </w:p>
          <w:p w14:paraId="6FFB4C1F" w14:textId="77777777" w:rsidR="00C924CF" w:rsidRPr="00AE595D" w:rsidRDefault="009C15D7" w:rsidP="009C15D7">
            <w:pPr>
              <w:spacing w:after="120" w:line="240" w:lineRule="auto"/>
            </w:pPr>
            <w:r w:rsidRPr="009733EE">
              <w:rPr>
                <w:bCs/>
                <w:i/>
              </w:rPr>
              <w:t>A</w:t>
            </w:r>
            <w:r w:rsidRPr="009733EE">
              <w:rPr>
                <w:bCs/>
                <w:i/>
                <w:lang w:bidi="en-US"/>
              </w:rPr>
              <w:t>s a team</w:t>
            </w:r>
            <w:r w:rsidRPr="009733EE">
              <w:rPr>
                <w:bCs/>
                <w:i/>
              </w:rPr>
              <w:t xml:space="preserve">, </w:t>
            </w:r>
            <w:r w:rsidRPr="009733EE">
              <w:rPr>
                <w:bCs/>
                <w:i/>
                <w:lang w:bidi="en-US"/>
              </w:rPr>
              <w:t xml:space="preserve">decide on specific and standardized measures you can track at your hospital. </w:t>
            </w:r>
            <w:r w:rsidRPr="009733EE">
              <w:rPr>
                <w:bCs/>
                <w:i/>
              </w:rPr>
              <w:t>It may be helpful to r</w:t>
            </w:r>
            <w:r w:rsidRPr="009733EE">
              <w:rPr>
                <w:bCs/>
                <w:i/>
                <w:lang w:bidi="en-US"/>
              </w:rPr>
              <w:t xml:space="preserve">ecord </w:t>
            </w:r>
            <w:r w:rsidRPr="009733EE">
              <w:rPr>
                <w:bCs/>
                <w:i/>
              </w:rPr>
              <w:t>your</w:t>
            </w:r>
            <w:r w:rsidRPr="009733EE">
              <w:rPr>
                <w:bCs/>
                <w:i/>
                <w:lang w:bidi="en-US"/>
              </w:rPr>
              <w:t xml:space="preserve"> definition</w:t>
            </w:r>
            <w:r w:rsidRPr="009733EE">
              <w:rPr>
                <w:bCs/>
                <w:i/>
              </w:rPr>
              <w:t>s</w:t>
            </w:r>
            <w:r w:rsidRPr="009733EE">
              <w:rPr>
                <w:bCs/>
                <w:i/>
                <w:lang w:bidi="en-US"/>
              </w:rPr>
              <w:t xml:space="preserve"> here.</w:t>
            </w:r>
          </w:p>
        </w:tc>
      </w:tr>
      <w:tr w:rsidR="009C15D7" w:rsidRPr="00AE595D" w14:paraId="1FC3D62D" w14:textId="77777777" w:rsidTr="007A7448">
        <w:trPr>
          <w:cantSplit/>
          <w:trHeight w:val="334"/>
        </w:trPr>
        <w:tc>
          <w:tcPr>
            <w:tcW w:w="300" w:type="pct"/>
            <w:hideMark/>
          </w:tcPr>
          <w:p w14:paraId="333FE8B5" w14:textId="77777777" w:rsidR="005956DE" w:rsidRPr="00B01F5D" w:rsidRDefault="005A5993" w:rsidP="00AE595D">
            <w:pPr>
              <w:spacing w:after="120" w:line="240" w:lineRule="auto"/>
              <w:ind w:left="159"/>
              <w:rPr>
                <w:b/>
              </w:rPr>
            </w:pPr>
            <w:r>
              <w:rPr>
                <w:b/>
              </w:rPr>
              <w:t>All ISCR Pathways</w:t>
            </w:r>
          </w:p>
        </w:tc>
        <w:tc>
          <w:tcPr>
            <w:tcW w:w="292" w:type="pct"/>
          </w:tcPr>
          <w:p w14:paraId="35CF353B" w14:textId="77777777" w:rsidR="005956DE" w:rsidRPr="00AE595D" w:rsidRDefault="005956DE" w:rsidP="00AE595D">
            <w:pPr>
              <w:spacing w:after="120" w:line="240" w:lineRule="auto"/>
              <w:rPr>
                <w:b/>
                <w:bCs/>
              </w:rPr>
            </w:pPr>
            <w:r w:rsidRPr="00AE595D">
              <w:rPr>
                <w:b/>
                <w:bCs/>
              </w:rPr>
              <w:t>Prophylactic Antibiotics</w:t>
            </w:r>
          </w:p>
        </w:tc>
        <w:tc>
          <w:tcPr>
            <w:tcW w:w="1622" w:type="pct"/>
          </w:tcPr>
          <w:p w14:paraId="6939EB3A" w14:textId="77777777" w:rsidR="003D486E" w:rsidRPr="0019570D" w:rsidRDefault="00B01F5D" w:rsidP="00AE595D">
            <w:pPr>
              <w:spacing w:after="120" w:line="240" w:lineRule="auto"/>
              <w:ind w:left="288" w:hanging="288"/>
              <w:rPr>
                <w:rFonts w:eastAsia="Times New Roman" w:cs="Times New Roman"/>
                <w:b/>
              </w:rPr>
            </w:pPr>
            <w:r w:rsidRPr="0019570D">
              <w:rPr>
                <w:rFonts w:eastAsia="Times New Roman" w:cs="Times New Roman"/>
                <w:b/>
              </w:rPr>
              <w:t xml:space="preserve">Choose your </w:t>
            </w:r>
            <w:r w:rsidR="003D486E" w:rsidRPr="0019570D">
              <w:rPr>
                <w:rFonts w:eastAsia="Times New Roman" w:cs="Times New Roman"/>
                <w:b/>
              </w:rPr>
              <w:t>approach (see guideline for details)</w:t>
            </w:r>
            <w:r w:rsidRPr="0019570D">
              <w:rPr>
                <w:rFonts w:eastAsia="Times New Roman" w:cs="Times New Roman"/>
                <w:b/>
              </w:rPr>
              <w:t>:</w:t>
            </w:r>
          </w:p>
          <w:p w14:paraId="6E020541" w14:textId="77777777" w:rsidR="003D486E" w:rsidRPr="0019570D" w:rsidRDefault="003D486E" w:rsidP="00AE595D">
            <w:pPr>
              <w:spacing w:after="120" w:line="240" w:lineRule="auto"/>
              <w:ind w:left="288" w:hanging="288"/>
              <w:rPr>
                <w:rFonts w:eastAsia="Times New Roman" w:cs="Times New Roman"/>
              </w:rPr>
            </w:pPr>
            <w:r w:rsidRPr="0019570D">
              <w:rPr>
                <w:rFonts w:eastAsia="Times New Roman" w:cs="Times New Roman"/>
              </w:rPr>
              <w:t>Choose your prophylactic antibiotics approach</w:t>
            </w:r>
            <w:r w:rsidR="005A5993" w:rsidRPr="0019570D">
              <w:rPr>
                <w:rFonts w:eastAsia="Times New Roman" w:cs="Times New Roman"/>
              </w:rPr>
              <w:t xml:space="preserve"> by using </w:t>
            </w:r>
            <w:hyperlink r:id="rId19" w:history="1">
              <w:r w:rsidR="00975962" w:rsidRPr="0019570D">
                <w:rPr>
                  <w:rStyle w:val="Hyperlink"/>
                  <w:rFonts w:eastAsia="Times New Roman" w:cs="Times New Roman"/>
                </w:rPr>
                <w:t>Healthcare Infection Control Practices Advisory Committee (</w:t>
              </w:r>
              <w:r w:rsidR="005A5993" w:rsidRPr="0019570D">
                <w:rPr>
                  <w:rStyle w:val="Hyperlink"/>
                  <w:rFonts w:eastAsia="Times New Roman" w:cs="Times New Roman"/>
                </w:rPr>
                <w:t>HICPAC</w:t>
              </w:r>
              <w:r w:rsidR="00975962" w:rsidRPr="0019570D">
                <w:rPr>
                  <w:rStyle w:val="Hyperlink"/>
                  <w:rFonts w:eastAsia="Times New Roman" w:cs="Times New Roman"/>
                </w:rPr>
                <w:t>)</w:t>
              </w:r>
            </w:hyperlink>
            <w:r w:rsidR="005A5993" w:rsidRPr="0019570D">
              <w:rPr>
                <w:rFonts w:eastAsia="Times New Roman" w:cs="Times New Roman"/>
              </w:rPr>
              <w:t xml:space="preserve"> and/or </w:t>
            </w:r>
            <w:r w:rsidR="005A5993" w:rsidRPr="0019570D">
              <w:t xml:space="preserve">Society for Healthcare Epidemiology of America (SHEA) </w:t>
            </w:r>
            <w:r w:rsidR="005A5993" w:rsidRPr="0019570D">
              <w:rPr>
                <w:rFonts w:eastAsia="Times New Roman" w:cs="Times New Roman"/>
              </w:rPr>
              <w:t>guidelines and antibiotic stewardship practices</w:t>
            </w:r>
            <w:r w:rsidRPr="0019570D">
              <w:rPr>
                <w:rFonts w:eastAsia="Times New Roman" w:cs="Times New Roman"/>
              </w:rPr>
              <w:t>*:</w:t>
            </w:r>
          </w:p>
          <w:p w14:paraId="5E90921C" w14:textId="77777777" w:rsidR="003D486E" w:rsidRPr="0019570D" w:rsidRDefault="003D486E" w:rsidP="00AE595D">
            <w:pPr>
              <w:spacing w:after="120" w:line="240" w:lineRule="auto"/>
              <w:ind w:left="288" w:hanging="288"/>
              <w:rPr>
                <w:rFonts w:eastAsia="Times New Roman" w:cs="Times New Roman"/>
              </w:rPr>
            </w:pPr>
          </w:p>
          <w:p w14:paraId="6B4233FB" w14:textId="77777777" w:rsidR="003D486E" w:rsidRPr="0019570D" w:rsidRDefault="003D486E" w:rsidP="00AE595D">
            <w:pPr>
              <w:spacing w:after="120" w:line="240" w:lineRule="auto"/>
              <w:ind w:left="288" w:hanging="288"/>
              <w:rPr>
                <w:rFonts w:eastAsia="Times New Roman" w:cs="Times New Roman"/>
              </w:rPr>
            </w:pPr>
            <w:r w:rsidRPr="0019570D">
              <w:rPr>
                <w:rFonts w:eastAsia="Times New Roman" w:cs="Times New Roman"/>
              </w:rPr>
              <w:t>*First dose should be administered within 60 minutes before incision (120 minutes for fluoroquinolones and vancomycin). Intraoperative redosing for longer cases and those with significant blood loss should be done as described in the Clinical Practice Guidelines for Antimicrobial Prophylaxis in Surgery</w:t>
            </w:r>
            <w:r w:rsidR="0019570D">
              <w:rPr>
                <w:rFonts w:eastAsia="Times New Roman" w:cs="Times New Roman"/>
                <w:vertAlign w:val="superscript"/>
              </w:rPr>
              <w:t>6</w:t>
            </w:r>
          </w:p>
          <w:p w14:paraId="65D10F08" w14:textId="77777777" w:rsidR="005956DE" w:rsidRPr="0019570D" w:rsidRDefault="005956DE" w:rsidP="00AE595D">
            <w:pPr>
              <w:spacing w:after="120" w:line="240" w:lineRule="auto"/>
              <w:ind w:left="288" w:hanging="288"/>
              <w:rPr>
                <w:rFonts w:eastAsia="Times New Roman" w:cs="Times New Roman"/>
              </w:rPr>
            </w:pPr>
          </w:p>
        </w:tc>
        <w:tc>
          <w:tcPr>
            <w:tcW w:w="618" w:type="pct"/>
          </w:tcPr>
          <w:p w14:paraId="203A80A6" w14:textId="4BCF7C14" w:rsidR="005956DE" w:rsidRPr="0019570D" w:rsidRDefault="00001AAC" w:rsidP="00AE595D">
            <w:pPr>
              <w:spacing w:after="120" w:line="240" w:lineRule="auto"/>
              <w:ind w:left="288" w:hanging="288"/>
              <w:rPr>
                <w:rFonts w:eastAsia="Times New Roman" w:cs="Times New Roman"/>
                <w:color w:val="000000"/>
              </w:rPr>
            </w:pPr>
            <w:r w:rsidRPr="007C7841">
              <w:rPr>
                <w:rFonts w:eastAsia="Times New Roman" w:cs="Times New Roman"/>
                <w:i/>
                <w:color w:val="000000"/>
              </w:rPr>
              <w:t xml:space="preserve">Enter </w:t>
            </w:r>
            <w:r w:rsidR="003F6934">
              <w:rPr>
                <w:rFonts w:eastAsia="Times New Roman" w:cs="Times New Roman"/>
                <w:i/>
                <w:color w:val="000000"/>
              </w:rPr>
              <w:t xml:space="preserve">team decisions/notes </w:t>
            </w:r>
            <w:r w:rsidRPr="007C7841">
              <w:rPr>
                <w:rFonts w:eastAsia="Times New Roman" w:cs="Times New Roman"/>
                <w:i/>
                <w:color w:val="000000"/>
              </w:rPr>
              <w:t>here</w:t>
            </w:r>
          </w:p>
        </w:tc>
        <w:tc>
          <w:tcPr>
            <w:tcW w:w="1563" w:type="pct"/>
          </w:tcPr>
          <w:p w14:paraId="7F661281" w14:textId="77777777" w:rsidR="00EA34A5" w:rsidRPr="0019570D" w:rsidRDefault="00EA34A5" w:rsidP="00EA34A5">
            <w:pPr>
              <w:spacing w:after="120" w:line="240" w:lineRule="auto"/>
            </w:pPr>
            <w:r w:rsidRPr="0019570D">
              <w:rPr>
                <w:rFonts w:eastAsia="Times New Roman" w:cs="Times New Roman"/>
                <w:b/>
                <w:color w:val="000000"/>
              </w:rPr>
              <w:t>Resource:</w:t>
            </w:r>
            <w:r w:rsidRPr="0019570D">
              <w:rPr>
                <w:rFonts w:eastAsia="Times New Roman" w:cs="Times New Roman"/>
                <w:color w:val="000000"/>
              </w:rPr>
              <w:t xml:space="preserve"> Antibiotic Choice Is Independently Associated With Risk of Surgical Site Infection After Colectomy: A Population-Based Cohort Study</w:t>
            </w:r>
            <w:r>
              <w:rPr>
                <w:rFonts w:eastAsia="Times New Roman" w:cs="Times New Roman"/>
                <w:color w:val="000000"/>
                <w:vertAlign w:val="superscript"/>
              </w:rPr>
              <w:t>3</w:t>
            </w:r>
          </w:p>
          <w:p w14:paraId="09E0D388" w14:textId="77777777" w:rsidR="00EA34A5" w:rsidRPr="0019570D" w:rsidRDefault="00EA34A5" w:rsidP="00EA34A5">
            <w:pPr>
              <w:spacing w:after="120" w:line="240" w:lineRule="auto"/>
            </w:pPr>
            <w:r w:rsidRPr="0019570D">
              <w:rPr>
                <w:b/>
              </w:rPr>
              <w:t>Resource</w:t>
            </w:r>
            <w:r w:rsidRPr="0019570D">
              <w:t xml:space="preserve">: Selection </w:t>
            </w:r>
            <w:r>
              <w:t>o</w:t>
            </w:r>
            <w:r w:rsidRPr="0019570D">
              <w:t xml:space="preserve">f Prophylactic Antimicrobial Agent May Affect Incidence </w:t>
            </w:r>
            <w:r>
              <w:t>o</w:t>
            </w:r>
            <w:r w:rsidRPr="0019570D">
              <w:t xml:space="preserve">f Infection </w:t>
            </w:r>
            <w:r>
              <w:t>i</w:t>
            </w:r>
            <w:r w:rsidRPr="0019570D">
              <w:t xml:space="preserve">n Small Bowel </w:t>
            </w:r>
            <w:r>
              <w:t>a</w:t>
            </w:r>
            <w:r w:rsidRPr="0019570D">
              <w:t>nd Colorectal Surgery</w:t>
            </w:r>
            <w:r>
              <w:rPr>
                <w:vertAlign w:val="superscript"/>
              </w:rPr>
              <w:t>4</w:t>
            </w:r>
          </w:p>
          <w:p w14:paraId="111FB4D8" w14:textId="77777777" w:rsidR="00EA34A5" w:rsidRPr="0019570D" w:rsidRDefault="00EA34A5" w:rsidP="00EA34A5">
            <w:pPr>
              <w:spacing w:after="120" w:line="240" w:lineRule="auto"/>
              <w:rPr>
                <w:rFonts w:eastAsia="Times New Roman" w:cs="Times New Roman"/>
                <w:color w:val="000000"/>
              </w:rPr>
            </w:pPr>
            <w:r w:rsidRPr="0019570D">
              <w:rPr>
                <w:rFonts w:eastAsia="Times New Roman" w:cs="Times New Roman"/>
                <w:b/>
                <w:color w:val="000000"/>
              </w:rPr>
              <w:t>Resource:</w:t>
            </w:r>
            <w:r w:rsidRPr="0019570D">
              <w:rPr>
                <w:rFonts w:eastAsia="Times New Roman" w:cs="Times New Roman"/>
                <w:color w:val="000000"/>
              </w:rPr>
              <w:t xml:space="preserve"> Choice of Intravenous Antibiotic Prophylaxis for Colorectal Surgery Does Matter</w:t>
            </w:r>
            <w:r>
              <w:rPr>
                <w:rFonts w:eastAsia="Times New Roman" w:cs="Times New Roman"/>
                <w:color w:val="000000"/>
                <w:vertAlign w:val="superscript"/>
              </w:rPr>
              <w:t>5</w:t>
            </w:r>
          </w:p>
          <w:p w14:paraId="08696AEF" w14:textId="77777777" w:rsidR="00EA34A5" w:rsidRDefault="00EA34A5" w:rsidP="00EA34A5">
            <w:pPr>
              <w:spacing w:after="120" w:line="240" w:lineRule="auto"/>
              <w:rPr>
                <w:rFonts w:eastAsia="Times New Roman" w:cs="Times New Roman"/>
                <w:color w:val="000000"/>
                <w:vertAlign w:val="superscript"/>
              </w:rPr>
            </w:pPr>
            <w:r w:rsidRPr="0019570D">
              <w:rPr>
                <w:rFonts w:eastAsia="Times New Roman" w:cs="Times New Roman"/>
                <w:b/>
                <w:color w:val="000000"/>
              </w:rPr>
              <w:t>Resource:</w:t>
            </w:r>
            <w:r w:rsidRPr="0019570D">
              <w:rPr>
                <w:rFonts w:eastAsia="Times New Roman" w:cs="Times New Roman"/>
                <w:color w:val="000000"/>
              </w:rPr>
              <w:t xml:space="preserve"> Clinical Practice Guidelines for Antimicrobial Prophylaxis in Surgery</w:t>
            </w:r>
            <w:r>
              <w:rPr>
                <w:rFonts w:eastAsia="Times New Roman" w:cs="Times New Roman"/>
                <w:color w:val="000000"/>
                <w:vertAlign w:val="superscript"/>
              </w:rPr>
              <w:t>5</w:t>
            </w:r>
          </w:p>
          <w:p w14:paraId="4F380999" w14:textId="156BF71B" w:rsidR="00975962" w:rsidRPr="0019570D" w:rsidRDefault="003023A5" w:rsidP="00EA34A5">
            <w:pPr>
              <w:spacing w:after="120" w:line="240" w:lineRule="auto"/>
              <w:rPr>
                <w:rFonts w:eastAsia="Times New Roman" w:cs="Times New Roman"/>
                <w:b/>
                <w:color w:val="000000"/>
              </w:rPr>
            </w:pPr>
            <w:r>
              <w:rPr>
                <w:rFonts w:eastAsia="Times New Roman" w:cs="Times New Roman"/>
                <w:b/>
                <w:color w:val="000000"/>
              </w:rPr>
              <w:t>Tip</w:t>
            </w:r>
            <w:r w:rsidR="00975962" w:rsidRPr="0019570D">
              <w:rPr>
                <w:rFonts w:eastAsia="Times New Roman" w:cs="Times New Roman"/>
                <w:b/>
                <w:color w:val="000000"/>
              </w:rPr>
              <w:t xml:space="preserve">: </w:t>
            </w:r>
            <w:r w:rsidR="00975962" w:rsidRPr="0019570D">
              <w:rPr>
                <w:rFonts w:eastAsia="Times New Roman" w:cs="Times New Roman"/>
                <w:color w:val="000000"/>
              </w:rPr>
              <w:t>If available use your antibiotic stewardship committee and include your pharmacist in standardizing your prophylactic antibiotic approach</w:t>
            </w:r>
            <w:r w:rsidR="008A4CA8">
              <w:rPr>
                <w:rFonts w:eastAsia="Times New Roman" w:cs="Times New Roman"/>
                <w:color w:val="000000"/>
              </w:rPr>
              <w:t>.</w:t>
            </w:r>
            <w:r w:rsidR="00975962" w:rsidRPr="0019570D">
              <w:rPr>
                <w:rFonts w:eastAsia="Times New Roman" w:cs="Times New Roman"/>
                <w:b/>
                <w:color w:val="000000"/>
              </w:rPr>
              <w:t xml:space="preserve"> </w:t>
            </w:r>
          </w:p>
          <w:p w14:paraId="33D503F5" w14:textId="69F37C4E" w:rsidR="00975962" w:rsidRPr="0019570D" w:rsidRDefault="003023A5" w:rsidP="00975962">
            <w:pPr>
              <w:spacing w:after="120" w:line="240" w:lineRule="auto"/>
              <w:rPr>
                <w:rFonts w:eastAsia="Times New Roman" w:cs="Times New Roman"/>
                <w:b/>
                <w:color w:val="000000"/>
              </w:rPr>
            </w:pPr>
            <w:r>
              <w:rPr>
                <w:rFonts w:eastAsia="Times New Roman" w:cs="Times New Roman"/>
                <w:b/>
                <w:color w:val="000000"/>
              </w:rPr>
              <w:t>Tip</w:t>
            </w:r>
            <w:r w:rsidR="00975962" w:rsidRPr="0019570D">
              <w:rPr>
                <w:rFonts w:eastAsia="Times New Roman" w:cs="Times New Roman"/>
                <w:b/>
                <w:color w:val="000000"/>
              </w:rPr>
              <w:t xml:space="preserve">: </w:t>
            </w:r>
            <w:r w:rsidR="00975962" w:rsidRPr="0019570D">
              <w:rPr>
                <w:rFonts w:eastAsia="Times New Roman" w:cs="Times New Roman"/>
                <w:color w:val="000000"/>
              </w:rPr>
              <w:t>Include in operating room briefing</w:t>
            </w:r>
            <w:r w:rsidR="008A4CA8">
              <w:rPr>
                <w:rFonts w:eastAsia="Times New Roman" w:cs="Times New Roman"/>
                <w:color w:val="000000"/>
              </w:rPr>
              <w:t>.</w:t>
            </w:r>
          </w:p>
          <w:p w14:paraId="0E058B86" w14:textId="588E9B89" w:rsidR="00975962" w:rsidRPr="0019570D" w:rsidRDefault="003023A5" w:rsidP="00975962">
            <w:pPr>
              <w:spacing w:after="120" w:line="240" w:lineRule="auto"/>
              <w:rPr>
                <w:rFonts w:eastAsia="Times New Roman" w:cs="Times New Roman"/>
                <w:b/>
                <w:color w:val="000000"/>
              </w:rPr>
            </w:pPr>
            <w:r>
              <w:rPr>
                <w:rFonts w:eastAsia="Times New Roman" w:cs="Times New Roman"/>
                <w:b/>
                <w:color w:val="000000"/>
              </w:rPr>
              <w:t>Tip</w:t>
            </w:r>
            <w:r w:rsidR="00975962" w:rsidRPr="0019570D">
              <w:rPr>
                <w:rFonts w:eastAsia="Times New Roman" w:cs="Times New Roman"/>
                <w:b/>
                <w:color w:val="000000"/>
              </w:rPr>
              <w:t xml:space="preserve">: </w:t>
            </w:r>
            <w:r w:rsidR="00975962" w:rsidRPr="0019570D">
              <w:rPr>
                <w:rFonts w:eastAsia="Times New Roman" w:cs="Times New Roman"/>
                <w:color w:val="000000"/>
              </w:rPr>
              <w:t>For vancomycin, coordinate with anesthesia providers and preoperative area nurses to ensure administration in ample time before incision</w:t>
            </w:r>
            <w:r w:rsidR="008A4CA8">
              <w:rPr>
                <w:rFonts w:eastAsia="Times New Roman" w:cs="Times New Roman"/>
                <w:color w:val="000000"/>
              </w:rPr>
              <w:t>.</w:t>
            </w:r>
          </w:p>
          <w:p w14:paraId="05C64C08" w14:textId="0EE53A43" w:rsidR="005956DE" w:rsidRPr="0019570D" w:rsidRDefault="005956DE" w:rsidP="001F1A09">
            <w:pPr>
              <w:spacing w:after="120" w:line="240" w:lineRule="auto"/>
            </w:pPr>
          </w:p>
        </w:tc>
        <w:tc>
          <w:tcPr>
            <w:tcW w:w="605" w:type="pct"/>
          </w:tcPr>
          <w:p w14:paraId="235F72CD" w14:textId="04ACCE63" w:rsidR="005956DE" w:rsidRPr="00D033DE" w:rsidRDefault="00D033DE" w:rsidP="00D033DE">
            <w:pPr>
              <w:spacing w:after="120" w:line="240" w:lineRule="auto"/>
              <w:ind w:left="288" w:hanging="288"/>
              <w:rPr>
                <w:rFonts w:eastAsia="Times New Roman" w:cs="Times New Roman"/>
                <w:i/>
                <w:color w:val="000000"/>
              </w:rPr>
            </w:pPr>
            <w:r w:rsidRPr="00D033DE">
              <w:rPr>
                <w:rFonts w:eastAsia="Times New Roman" w:cs="Times New Roman"/>
                <w:i/>
                <w:color w:val="000000"/>
              </w:rPr>
              <w:t xml:space="preserve">Enter </w:t>
            </w:r>
            <w:r w:rsidR="00CB3621">
              <w:rPr>
                <w:rFonts w:eastAsia="Times New Roman" w:cs="Times New Roman"/>
                <w:i/>
                <w:color w:val="000000"/>
              </w:rPr>
              <w:t xml:space="preserve">ISCR measures </w:t>
            </w:r>
            <w:r w:rsidRPr="00D033DE">
              <w:rPr>
                <w:rFonts w:eastAsia="Times New Roman" w:cs="Times New Roman"/>
                <w:i/>
                <w:color w:val="000000"/>
              </w:rPr>
              <w:t>here</w:t>
            </w:r>
          </w:p>
        </w:tc>
      </w:tr>
    </w:tbl>
    <w:p w14:paraId="38189E23" w14:textId="3930AB6A" w:rsidR="00D672F9" w:rsidRDefault="00D672F9" w:rsidP="00D033DE">
      <w:pPr>
        <w:pStyle w:val="BodyText1"/>
        <w:spacing w:after="0" w:line="240" w:lineRule="auto"/>
        <w:ind w:left="180" w:hanging="180"/>
      </w:pPr>
      <w:r w:rsidRPr="00AE595D">
        <w:t>Abbreviations:</w:t>
      </w:r>
      <w:r>
        <w:t xml:space="preserve"> ISCR = Improving Surgical Care and Recovery</w:t>
      </w:r>
    </w:p>
    <w:p w14:paraId="1B2CDEA5" w14:textId="77777777" w:rsidR="00D672F9" w:rsidRDefault="00D672F9" w:rsidP="00D033DE">
      <w:pPr>
        <w:pStyle w:val="BodyText1"/>
        <w:spacing w:after="0" w:line="240" w:lineRule="auto"/>
        <w:ind w:left="180" w:hanging="180"/>
      </w:pPr>
    </w:p>
    <w:p w14:paraId="36FC3C90" w14:textId="2EF996BD" w:rsidR="000D02E2" w:rsidRPr="0019570D" w:rsidRDefault="000D02E2" w:rsidP="00D033DE">
      <w:pPr>
        <w:pStyle w:val="BodyText1"/>
        <w:spacing w:after="0" w:line="240" w:lineRule="auto"/>
        <w:ind w:left="180" w:hanging="180"/>
      </w:pPr>
      <w:r w:rsidRPr="0019570D">
        <w:t xml:space="preserve">1 Sawyer RG, Claridge JA, </w:t>
      </w:r>
      <w:proofErr w:type="spellStart"/>
      <w:r w:rsidRPr="0019570D">
        <w:t>Nathens</w:t>
      </w:r>
      <w:proofErr w:type="spellEnd"/>
      <w:r w:rsidRPr="0019570D">
        <w:t xml:space="preserve"> AB, et al. Trial of short-course antimicrobial therapy for intraabdominal infection. New England Journal of Medicine. 2015;372(21):1996-2005.</w:t>
      </w:r>
    </w:p>
    <w:p w14:paraId="05AC2D58" w14:textId="07128D8C" w:rsidR="0019570D" w:rsidRPr="0019570D" w:rsidRDefault="0019570D" w:rsidP="00D033DE">
      <w:pPr>
        <w:pStyle w:val="BodyText1"/>
        <w:spacing w:after="0" w:line="240" w:lineRule="auto"/>
        <w:ind w:left="180" w:hanging="180"/>
      </w:pPr>
      <w:r w:rsidRPr="0019570D">
        <w:t xml:space="preserve">2 </w:t>
      </w:r>
      <w:proofErr w:type="spellStart"/>
      <w:r w:rsidRPr="0019570D">
        <w:t>Mazuski</w:t>
      </w:r>
      <w:proofErr w:type="spellEnd"/>
      <w:r w:rsidRPr="0019570D">
        <w:t xml:space="preserve"> JE, Tessier JM, May AK, </w:t>
      </w:r>
      <w:r w:rsidR="0025268E">
        <w:t>et al</w:t>
      </w:r>
      <w:r w:rsidRPr="0019570D">
        <w:t>. The Surgical Infection Society revised guidelines on the management of intra-abdominal infection. Surg Infect. 2017 Jan;18(1):1-76</w:t>
      </w:r>
    </w:p>
    <w:p w14:paraId="395431F5" w14:textId="77777777" w:rsidR="001D4098" w:rsidRPr="0019570D" w:rsidRDefault="0019570D" w:rsidP="00D033DE">
      <w:pPr>
        <w:pStyle w:val="BodyText1"/>
        <w:spacing w:after="0" w:line="240" w:lineRule="auto"/>
        <w:ind w:left="180" w:hanging="180"/>
      </w:pPr>
      <w:r w:rsidRPr="0019570D">
        <w:t>3</w:t>
      </w:r>
      <w:r w:rsidR="001D4098" w:rsidRPr="0019570D">
        <w:t xml:space="preserve"> Hendren S, </w:t>
      </w:r>
      <w:proofErr w:type="spellStart"/>
      <w:r w:rsidR="001D4098" w:rsidRPr="0019570D">
        <w:t>Fritze</w:t>
      </w:r>
      <w:proofErr w:type="spellEnd"/>
      <w:r w:rsidR="001D4098" w:rsidRPr="0019570D">
        <w:t xml:space="preserve"> D, Banerjee M, et al. Antibiotic Choice Is Independently Associated With Risk of Surgical Site Infection After Colectomy: A Population-Based Cohort Study. Ann Surg 2013;257:469-75.</w:t>
      </w:r>
    </w:p>
    <w:p w14:paraId="6E0D4530" w14:textId="77777777" w:rsidR="001D4098" w:rsidRPr="0019570D" w:rsidRDefault="0019570D" w:rsidP="00D033DE">
      <w:pPr>
        <w:pStyle w:val="BodyText1"/>
        <w:spacing w:after="0" w:line="240" w:lineRule="auto"/>
        <w:ind w:left="180" w:hanging="180"/>
      </w:pPr>
      <w:r w:rsidRPr="0019570D">
        <w:t>4</w:t>
      </w:r>
      <w:r w:rsidR="001D4098" w:rsidRPr="0019570D">
        <w:t xml:space="preserve"> </w:t>
      </w:r>
      <w:proofErr w:type="spellStart"/>
      <w:r w:rsidR="001D4098" w:rsidRPr="0019570D">
        <w:t>Eagye</w:t>
      </w:r>
      <w:proofErr w:type="spellEnd"/>
      <w:r w:rsidR="001D4098" w:rsidRPr="0019570D">
        <w:t xml:space="preserve"> KJ, </w:t>
      </w:r>
      <w:proofErr w:type="spellStart"/>
      <w:r w:rsidR="001D4098" w:rsidRPr="0019570D">
        <w:t>Nicolau</w:t>
      </w:r>
      <w:proofErr w:type="spellEnd"/>
      <w:r w:rsidR="001D4098" w:rsidRPr="0019570D">
        <w:t xml:space="preserve"> DP. </w:t>
      </w:r>
      <w:bookmarkStart w:id="22" w:name="_Hlk113362119"/>
      <w:r w:rsidR="001D4098" w:rsidRPr="0019570D">
        <w:t xml:space="preserve">Selection of prophylactic antimicrobial agent may affect incidence of infection in small bowel and colorectal surgery. </w:t>
      </w:r>
      <w:bookmarkEnd w:id="22"/>
      <w:r w:rsidR="001D4098" w:rsidRPr="0019570D">
        <w:t>Surg Infect (</w:t>
      </w:r>
      <w:proofErr w:type="spellStart"/>
      <w:r w:rsidR="001D4098" w:rsidRPr="0019570D">
        <w:t>Larchmt</w:t>
      </w:r>
      <w:proofErr w:type="spellEnd"/>
      <w:r w:rsidR="001D4098" w:rsidRPr="0019570D">
        <w:t>) 2011;12:451-7.</w:t>
      </w:r>
    </w:p>
    <w:p w14:paraId="0E2443B1" w14:textId="6DCCF951" w:rsidR="001D4098" w:rsidRPr="0019570D" w:rsidRDefault="0019570D" w:rsidP="00D033DE">
      <w:pPr>
        <w:pStyle w:val="BodyText1"/>
        <w:spacing w:after="0" w:line="240" w:lineRule="auto"/>
        <w:ind w:left="180" w:hanging="180"/>
      </w:pPr>
      <w:r w:rsidRPr="0019570D">
        <w:t>5</w:t>
      </w:r>
      <w:r w:rsidR="001D4098" w:rsidRPr="0019570D">
        <w:t xml:space="preserve"> </w:t>
      </w:r>
      <w:proofErr w:type="spellStart"/>
      <w:r w:rsidR="001D4098" w:rsidRPr="0019570D">
        <w:t>Deierhoi</w:t>
      </w:r>
      <w:proofErr w:type="spellEnd"/>
      <w:r w:rsidR="001D4098" w:rsidRPr="0019570D">
        <w:t xml:space="preserve"> RJ, Dawes LG, Vick C, </w:t>
      </w:r>
      <w:r w:rsidR="00685DE3">
        <w:t>et al</w:t>
      </w:r>
      <w:r w:rsidR="001D4098" w:rsidRPr="0019570D">
        <w:t>. Choice of Intravenous Antibiotic Prophylaxis for Colorectal Surgery Does Matter. J Am Coll Surg</w:t>
      </w:r>
      <w:r w:rsidR="00D572FE">
        <w:t>.</w:t>
      </w:r>
      <w:r w:rsidR="001D4098" w:rsidRPr="0019570D">
        <w:t xml:space="preserve"> 2013</w:t>
      </w:r>
      <w:r w:rsidR="00D572FE" w:rsidRPr="00D572FE">
        <w:t xml:space="preserve"> Nov;217(5):763-9. </w:t>
      </w:r>
      <w:proofErr w:type="spellStart"/>
      <w:r w:rsidR="00D572FE" w:rsidRPr="00D572FE">
        <w:t>doi</w:t>
      </w:r>
      <w:proofErr w:type="spellEnd"/>
      <w:r w:rsidR="00D572FE" w:rsidRPr="00D572FE">
        <w:t xml:space="preserve">: 10.1016/j.jamcollsurg.2013.07.003. </w:t>
      </w:r>
      <w:proofErr w:type="spellStart"/>
      <w:r w:rsidR="00D572FE" w:rsidRPr="00D572FE">
        <w:t>Epub</w:t>
      </w:r>
      <w:proofErr w:type="spellEnd"/>
      <w:r w:rsidR="00D572FE" w:rsidRPr="00D572FE">
        <w:t xml:space="preserve"> 2013 Sep 14. PMID: 24045142.</w:t>
      </w:r>
    </w:p>
    <w:p w14:paraId="20459D84" w14:textId="7BADF34E" w:rsidR="00C924CF" w:rsidRPr="00AE595D" w:rsidRDefault="0019570D" w:rsidP="00D033DE">
      <w:pPr>
        <w:pStyle w:val="BodyText1"/>
        <w:spacing w:after="0" w:line="240" w:lineRule="auto"/>
        <w:ind w:left="180" w:hanging="180"/>
      </w:pPr>
      <w:r w:rsidRPr="0019570D">
        <w:t>6</w:t>
      </w:r>
      <w:r w:rsidR="001D4098" w:rsidRPr="0019570D">
        <w:t xml:space="preserve"> Bratzler DW, Dellinger EP, Olsen KM, </w:t>
      </w:r>
      <w:r w:rsidR="0025268E">
        <w:t>et al.</w:t>
      </w:r>
      <w:r w:rsidR="0025268E" w:rsidRPr="0019570D">
        <w:t xml:space="preserve"> </w:t>
      </w:r>
      <w:r w:rsidR="001D4098" w:rsidRPr="0019570D">
        <w:t>American Society of Health-System Pharmacists (ASHP); Infectious Diseases Society of America (IDSA); Surgical Infection Society (SIS); Society for Healthcare Epidemiology of America (SHEA). Clinical practice guidelines for antimicrobial prophylaxis in surgery. Surg Infect (</w:t>
      </w:r>
      <w:proofErr w:type="spellStart"/>
      <w:r w:rsidR="001D4098" w:rsidRPr="0019570D">
        <w:t>Larchmt</w:t>
      </w:r>
      <w:proofErr w:type="spellEnd"/>
      <w:r w:rsidR="001D4098" w:rsidRPr="0019570D">
        <w:t xml:space="preserve">). 2013 Feb;14(1):73-156. </w:t>
      </w:r>
      <w:proofErr w:type="spellStart"/>
      <w:r w:rsidR="001D4098" w:rsidRPr="0019570D">
        <w:t>doi</w:t>
      </w:r>
      <w:proofErr w:type="spellEnd"/>
      <w:r w:rsidR="001D4098" w:rsidRPr="0019570D">
        <w:t xml:space="preserve">: 10.1089/sur.2013.9999. </w:t>
      </w:r>
      <w:proofErr w:type="spellStart"/>
      <w:r w:rsidR="001D4098" w:rsidRPr="0019570D">
        <w:t>Epub</w:t>
      </w:r>
      <w:proofErr w:type="spellEnd"/>
      <w:r w:rsidR="001D4098" w:rsidRPr="0019570D">
        <w:t xml:space="preserve"> 2013 Mar 5. PubMed PMID: 23461695.</w:t>
      </w:r>
    </w:p>
    <w:p w14:paraId="29B89DFB" w14:textId="77777777" w:rsidR="006A1585" w:rsidRPr="00AE595D" w:rsidRDefault="006A1585" w:rsidP="00AE595D">
      <w:pPr>
        <w:spacing w:after="120" w:line="240" w:lineRule="auto"/>
        <w:rPr>
          <w:b/>
        </w:rPr>
      </w:pPr>
      <w:r w:rsidRPr="00AE595D">
        <w:rPr>
          <w:b/>
        </w:rPr>
        <w:br w:type="page"/>
      </w:r>
    </w:p>
    <w:p w14:paraId="2A917589" w14:textId="77777777" w:rsidR="005F5B68" w:rsidRDefault="006A1585">
      <w:pPr>
        <w:pStyle w:val="Heading2"/>
      </w:pPr>
      <w:bookmarkStart w:id="23" w:name="_Toc117000804"/>
      <w:r w:rsidRPr="00AE595D">
        <w:lastRenderedPageBreak/>
        <w:t>Intraoperative</w:t>
      </w:r>
      <w:r w:rsidR="005F5B68" w:rsidRPr="005F5B68">
        <w:t xml:space="preserve"> Skin </w:t>
      </w:r>
      <w:r w:rsidR="005F5B68">
        <w:t>P</w:t>
      </w:r>
      <w:r w:rsidR="005F5B68" w:rsidRPr="005F5B68">
        <w:t>reparation</w:t>
      </w:r>
      <w:bookmarkEnd w:id="23"/>
      <w:r w:rsidR="005F5B68" w:rsidRPr="005F5B68">
        <w:t xml:space="preserve"> </w:t>
      </w:r>
    </w:p>
    <w:p w14:paraId="2956C9F5" w14:textId="77777777" w:rsidR="005F5B68" w:rsidRPr="005F5B68" w:rsidRDefault="005F5B68" w:rsidP="005F5B68">
      <w:pPr>
        <w:pStyle w:val="BodyText1"/>
      </w:pPr>
      <w:r>
        <w:t xml:space="preserve">Skin preparation </w:t>
      </w:r>
      <w:r w:rsidRPr="005F5B68">
        <w:t>should be done with an alcohol-based regimen (either alcohol plus chlorhexidine or alcohol plus an iodophor) unless contraindicated.</w:t>
      </w:r>
    </w:p>
    <w:tbl>
      <w:tblPr>
        <w:tblStyle w:val="GridTable1Light1"/>
        <w:tblW w:w="5000" w:type="pct"/>
        <w:tblLook w:val="0600" w:firstRow="0" w:lastRow="0" w:firstColumn="0" w:lastColumn="0" w:noHBand="1" w:noVBand="1"/>
      </w:tblPr>
      <w:tblGrid>
        <w:gridCol w:w="1880"/>
        <w:gridCol w:w="1893"/>
        <w:gridCol w:w="8374"/>
        <w:gridCol w:w="3689"/>
        <w:gridCol w:w="3961"/>
        <w:gridCol w:w="3233"/>
      </w:tblGrid>
      <w:tr w:rsidR="004B3D41" w:rsidRPr="005F5B68" w14:paraId="0969C570" w14:textId="77777777" w:rsidTr="009C7C23">
        <w:trPr>
          <w:cantSplit/>
          <w:trHeight w:val="973"/>
          <w:tblHeader/>
        </w:trPr>
        <w:tc>
          <w:tcPr>
            <w:tcW w:w="0" w:type="pct"/>
            <w:hideMark/>
          </w:tcPr>
          <w:p w14:paraId="018E96E5" w14:textId="5B5BE0C2" w:rsidR="004B3D41" w:rsidRPr="005F5B68" w:rsidRDefault="004B3D41" w:rsidP="005F5B68">
            <w:pPr>
              <w:pStyle w:val="TableParagraph"/>
              <w:rPr>
                <w:rStyle w:val="Strong"/>
              </w:rPr>
            </w:pPr>
            <w:r w:rsidRPr="005F5B68">
              <w:rPr>
                <w:rStyle w:val="Strong"/>
              </w:rPr>
              <w:t xml:space="preserve">Pathway </w:t>
            </w:r>
          </w:p>
        </w:tc>
        <w:tc>
          <w:tcPr>
            <w:tcW w:w="0" w:type="pct"/>
            <w:hideMark/>
          </w:tcPr>
          <w:p w14:paraId="563F8F54" w14:textId="77777777" w:rsidR="004B3D41" w:rsidRPr="005F5B68" w:rsidRDefault="004B3D41" w:rsidP="005F5B68">
            <w:pPr>
              <w:pStyle w:val="TableParagraph"/>
              <w:rPr>
                <w:rStyle w:val="Strong"/>
              </w:rPr>
            </w:pPr>
            <w:r w:rsidRPr="005F5B68">
              <w:rPr>
                <w:rStyle w:val="Strong"/>
              </w:rPr>
              <w:t>Component</w:t>
            </w:r>
          </w:p>
        </w:tc>
        <w:tc>
          <w:tcPr>
            <w:tcW w:w="0" w:type="pct"/>
            <w:hideMark/>
          </w:tcPr>
          <w:p w14:paraId="5F6A75F0" w14:textId="71F1BE3E" w:rsidR="00147ABD" w:rsidRDefault="004B3D41" w:rsidP="005F5B68">
            <w:pPr>
              <w:pStyle w:val="TableParagraph"/>
              <w:rPr>
                <w:rStyle w:val="Strong"/>
              </w:rPr>
            </w:pPr>
            <w:r w:rsidRPr="005F5B68">
              <w:rPr>
                <w:rStyle w:val="Strong"/>
              </w:rPr>
              <w:t xml:space="preserve">Example Processes </w:t>
            </w:r>
            <w:r w:rsidR="00011880">
              <w:rPr>
                <w:rStyle w:val="Strong"/>
              </w:rPr>
              <w:t>T</w:t>
            </w:r>
            <w:r w:rsidRPr="005F5B68">
              <w:rPr>
                <w:rStyle w:val="Strong"/>
              </w:rPr>
              <w:t>o Consider</w:t>
            </w:r>
          </w:p>
          <w:p w14:paraId="123B5720" w14:textId="77777777" w:rsidR="004B3D41" w:rsidRPr="00147ABD" w:rsidRDefault="004B3D41" w:rsidP="005F5B68">
            <w:pPr>
              <w:pStyle w:val="TableParagraph"/>
              <w:rPr>
                <w:rStyle w:val="Strong"/>
                <w:b w:val="0"/>
                <w:i/>
              </w:rPr>
            </w:pPr>
            <w:r w:rsidRPr="00147ABD">
              <w:rPr>
                <w:rStyle w:val="Strong"/>
                <w:b w:val="0"/>
                <w:i/>
              </w:rPr>
              <w:t>As a team, go through each component and discuss what approach best fits your hospital. It may be an option other than what is listed below.</w:t>
            </w:r>
          </w:p>
        </w:tc>
        <w:tc>
          <w:tcPr>
            <w:tcW w:w="0" w:type="pct"/>
            <w:hideMark/>
          </w:tcPr>
          <w:p w14:paraId="098A1F6D" w14:textId="77777777" w:rsidR="004B3D41" w:rsidRPr="005F5B68" w:rsidRDefault="004B3D41" w:rsidP="005F5B68">
            <w:pPr>
              <w:pStyle w:val="TableParagraph"/>
              <w:rPr>
                <w:rStyle w:val="Strong"/>
              </w:rPr>
            </w:pPr>
            <w:r w:rsidRPr="005F5B68">
              <w:rPr>
                <w:rStyle w:val="Strong"/>
              </w:rPr>
              <w:t>Team Decisions/Notes</w:t>
            </w:r>
          </w:p>
          <w:p w14:paraId="12E43FF0" w14:textId="77777777" w:rsidR="004B3D41" w:rsidRPr="00147ABD" w:rsidRDefault="004B3D41" w:rsidP="005F5B68">
            <w:pPr>
              <w:pStyle w:val="TableParagraph"/>
              <w:rPr>
                <w:rStyle w:val="Strong"/>
                <w:b w:val="0"/>
                <w:i/>
              </w:rPr>
            </w:pPr>
            <w:r w:rsidRPr="00147ABD">
              <w:rPr>
                <w:rStyle w:val="Strong"/>
                <w:b w:val="0"/>
                <w:i/>
              </w:rPr>
              <w:t>As a team, note exceptions and contraindications to the treatment or medications.</w:t>
            </w:r>
          </w:p>
        </w:tc>
        <w:tc>
          <w:tcPr>
            <w:tcW w:w="0" w:type="pct"/>
            <w:hideMark/>
          </w:tcPr>
          <w:p w14:paraId="59759B86" w14:textId="726EAB75" w:rsidR="004B3D41" w:rsidRPr="005F5B68" w:rsidRDefault="00AA140E" w:rsidP="005F5B68">
            <w:pPr>
              <w:pStyle w:val="TableParagraph"/>
              <w:rPr>
                <w:rStyle w:val="Strong"/>
              </w:rPr>
            </w:pPr>
            <w:r>
              <w:rPr>
                <w:rStyle w:val="Strong"/>
              </w:rPr>
              <w:t xml:space="preserve">Other Available Resources </w:t>
            </w:r>
            <w:r w:rsidR="00011880">
              <w:rPr>
                <w:rStyle w:val="Strong"/>
              </w:rPr>
              <w:t>and</w:t>
            </w:r>
            <w:r>
              <w:rPr>
                <w:rStyle w:val="Strong"/>
              </w:rPr>
              <w:t xml:space="preserve"> Tips </w:t>
            </w:r>
            <w:r w:rsidR="00011880">
              <w:rPr>
                <w:rStyle w:val="Strong"/>
              </w:rPr>
              <w:t>T</w:t>
            </w:r>
            <w:r>
              <w:rPr>
                <w:rStyle w:val="Strong"/>
              </w:rPr>
              <w:t>o Consider</w:t>
            </w:r>
          </w:p>
        </w:tc>
        <w:tc>
          <w:tcPr>
            <w:tcW w:w="0" w:type="pct"/>
            <w:hideMark/>
          </w:tcPr>
          <w:p w14:paraId="0FDC4C82" w14:textId="77777777" w:rsidR="009F40B9" w:rsidRPr="009F40B9" w:rsidRDefault="009F40B9" w:rsidP="009F40B9">
            <w:pPr>
              <w:pStyle w:val="TableParagraph"/>
              <w:rPr>
                <w:rStyle w:val="Strong"/>
              </w:rPr>
            </w:pPr>
            <w:r w:rsidRPr="009F40B9">
              <w:rPr>
                <w:rStyle w:val="Strong"/>
              </w:rPr>
              <w:t>ISCR Measures</w:t>
            </w:r>
          </w:p>
          <w:p w14:paraId="116FCF20" w14:textId="77777777" w:rsidR="004B3D41" w:rsidRPr="009F40B9" w:rsidRDefault="009F40B9" w:rsidP="009F40B9">
            <w:pPr>
              <w:pStyle w:val="TableParagraph"/>
              <w:rPr>
                <w:rStyle w:val="Strong"/>
                <w:b w:val="0"/>
                <w:i/>
              </w:rPr>
            </w:pPr>
            <w:r w:rsidRPr="009F40B9">
              <w:rPr>
                <w:rStyle w:val="Strong"/>
                <w:b w:val="0"/>
                <w:i/>
              </w:rPr>
              <w:t>As a team, decide on specific and standardized measures you can track at your hospital. It may be helpful to record your definitions here.</w:t>
            </w:r>
          </w:p>
        </w:tc>
      </w:tr>
      <w:tr w:rsidR="005956DE" w:rsidRPr="00AE595D" w14:paraId="2CA1FBFE" w14:textId="77777777" w:rsidTr="005F5B68">
        <w:trPr>
          <w:cantSplit/>
          <w:trHeight w:val="334"/>
        </w:trPr>
        <w:tc>
          <w:tcPr>
            <w:tcW w:w="408" w:type="pct"/>
            <w:hideMark/>
          </w:tcPr>
          <w:p w14:paraId="39C7FFC0" w14:textId="77777777" w:rsidR="005956DE" w:rsidRPr="00B01F5D" w:rsidRDefault="006F533C" w:rsidP="005F5B68">
            <w:pPr>
              <w:pStyle w:val="TableParagraph"/>
              <w:rPr>
                <w:b/>
              </w:rPr>
            </w:pPr>
            <w:r w:rsidRPr="00B01F5D">
              <w:rPr>
                <w:b/>
              </w:rPr>
              <w:t>All ISCR Pathways</w:t>
            </w:r>
          </w:p>
        </w:tc>
        <w:tc>
          <w:tcPr>
            <w:tcW w:w="411" w:type="pct"/>
          </w:tcPr>
          <w:p w14:paraId="48AB4D14" w14:textId="77777777" w:rsidR="005956DE" w:rsidRPr="00B01F5D" w:rsidRDefault="005956DE" w:rsidP="005F5B68">
            <w:pPr>
              <w:pStyle w:val="TableParagraph"/>
              <w:rPr>
                <w:b/>
              </w:rPr>
            </w:pPr>
            <w:r w:rsidRPr="00B01F5D">
              <w:rPr>
                <w:b/>
              </w:rPr>
              <w:t>Skin Preparation</w:t>
            </w:r>
          </w:p>
        </w:tc>
        <w:tc>
          <w:tcPr>
            <w:tcW w:w="1818" w:type="pct"/>
          </w:tcPr>
          <w:p w14:paraId="44A03920" w14:textId="2AE83AF4" w:rsidR="00765EC8" w:rsidRPr="00B01F5D" w:rsidRDefault="00282FBC" w:rsidP="00765EC8">
            <w:pPr>
              <w:pStyle w:val="TableParagraph"/>
              <w:spacing w:after="120" w:line="240" w:lineRule="auto"/>
              <w:rPr>
                <w:rFonts w:eastAsia="Times New Roman" w:cs="Times New Roman"/>
                <w:b/>
                <w:color w:val="000000"/>
              </w:rPr>
            </w:pPr>
            <w:r>
              <w:rPr>
                <w:rFonts w:eastAsia="Times New Roman" w:cs="Times New Roman"/>
                <w:b/>
                <w:color w:val="000000"/>
              </w:rPr>
              <w:t>Recommended</w:t>
            </w:r>
            <w:r w:rsidR="005956DE" w:rsidRPr="00B01F5D">
              <w:rPr>
                <w:rFonts w:eastAsia="Times New Roman" w:cs="Times New Roman"/>
                <w:b/>
                <w:color w:val="000000"/>
              </w:rPr>
              <w:t xml:space="preserve"> approach</w:t>
            </w:r>
            <w:r>
              <w:rPr>
                <w:rFonts w:eastAsia="Times New Roman" w:cs="Times New Roman"/>
                <w:b/>
                <w:color w:val="000000"/>
              </w:rPr>
              <w:t xml:space="preserve">: </w:t>
            </w:r>
          </w:p>
          <w:p w14:paraId="42491481" w14:textId="27B4CBAB" w:rsidR="005956DE" w:rsidRPr="00AE595D" w:rsidRDefault="00765EC8" w:rsidP="00765EC8">
            <w:pPr>
              <w:pStyle w:val="Bullet1"/>
              <w:rPr>
                <w:rFonts w:eastAsia="Times New Roman" w:cs="Times New Roman"/>
                <w:color w:val="000000"/>
              </w:rPr>
            </w:pPr>
            <w:r>
              <w:t>Al</w:t>
            </w:r>
            <w:r w:rsidR="00282FBC" w:rsidRPr="00282FBC">
              <w:t>cohol-based</w:t>
            </w:r>
            <w:r>
              <w:t xml:space="preserve"> regimen (e.g., </w:t>
            </w:r>
            <w:proofErr w:type="spellStart"/>
            <w:r w:rsidRPr="00AE595D">
              <w:t>Chlora</w:t>
            </w:r>
            <w:r>
              <w:t>P</w:t>
            </w:r>
            <w:r w:rsidRPr="00AE595D">
              <w:t>rep</w:t>
            </w:r>
            <w:proofErr w:type="spellEnd"/>
            <w:r>
              <w:t xml:space="preserve">™, </w:t>
            </w:r>
            <w:proofErr w:type="spellStart"/>
            <w:r w:rsidR="005956DE" w:rsidRPr="00AE595D">
              <w:t>Duraprep</w:t>
            </w:r>
            <w:proofErr w:type="spellEnd"/>
            <w:r>
              <w:t>™)</w:t>
            </w:r>
          </w:p>
        </w:tc>
        <w:tc>
          <w:tcPr>
            <w:tcW w:w="801" w:type="pct"/>
          </w:tcPr>
          <w:p w14:paraId="08A47F98" w14:textId="03C30A88" w:rsidR="005956DE" w:rsidRPr="00AE595D" w:rsidRDefault="00001AAC" w:rsidP="005F5B68">
            <w:pPr>
              <w:pStyle w:val="TableParagraph"/>
              <w:rPr>
                <w:rFonts w:eastAsia="Times New Roman" w:cs="Times New Roman"/>
                <w:color w:val="000000"/>
              </w:rPr>
            </w:pPr>
            <w:r w:rsidRPr="007C7841">
              <w:rPr>
                <w:rFonts w:eastAsia="Times New Roman" w:cs="Times New Roman"/>
                <w:i/>
                <w:color w:val="000000"/>
              </w:rPr>
              <w:t xml:space="preserve">Enter </w:t>
            </w:r>
            <w:r w:rsidR="00011880">
              <w:rPr>
                <w:rFonts w:eastAsia="Times New Roman" w:cs="Times New Roman"/>
                <w:i/>
                <w:color w:val="000000"/>
              </w:rPr>
              <w:t xml:space="preserve">team decisions/notes </w:t>
            </w:r>
            <w:r w:rsidRPr="007C7841">
              <w:rPr>
                <w:rFonts w:eastAsia="Times New Roman" w:cs="Times New Roman"/>
                <w:i/>
                <w:color w:val="000000"/>
              </w:rPr>
              <w:t>here</w:t>
            </w:r>
          </w:p>
        </w:tc>
        <w:tc>
          <w:tcPr>
            <w:tcW w:w="860" w:type="pct"/>
          </w:tcPr>
          <w:p w14:paraId="29BF9ED2" w14:textId="2F9A9720" w:rsidR="005956DE" w:rsidRPr="00AE595D" w:rsidRDefault="003023A5" w:rsidP="005F5B68">
            <w:pPr>
              <w:pStyle w:val="TableParagraph"/>
              <w:rPr>
                <w:rFonts w:eastAsia="Times New Roman" w:cs="Times New Roman"/>
                <w:color w:val="000000"/>
              </w:rPr>
            </w:pPr>
            <w:r>
              <w:rPr>
                <w:rFonts w:eastAsia="Times New Roman" w:cs="Times New Roman"/>
                <w:b/>
                <w:color w:val="000000"/>
              </w:rPr>
              <w:t>Tip</w:t>
            </w:r>
            <w:r w:rsidR="005956DE" w:rsidRPr="005F5B68">
              <w:rPr>
                <w:rFonts w:eastAsia="Times New Roman" w:cs="Times New Roman"/>
                <w:b/>
                <w:color w:val="000000"/>
              </w:rPr>
              <w:t>:</w:t>
            </w:r>
            <w:r w:rsidR="005956DE" w:rsidRPr="00AE595D">
              <w:rPr>
                <w:rFonts w:eastAsia="Times New Roman" w:cs="Times New Roman"/>
                <w:color w:val="000000"/>
              </w:rPr>
              <w:t xml:space="preserve"> Train </w:t>
            </w:r>
            <w:r w:rsidR="00282FBC">
              <w:rPr>
                <w:rFonts w:eastAsia="Times New Roman" w:cs="Times New Roman"/>
                <w:color w:val="000000"/>
              </w:rPr>
              <w:t>all operating room staff on standardized skin</w:t>
            </w:r>
            <w:r w:rsidR="005956DE" w:rsidRPr="00AE595D">
              <w:rPr>
                <w:rFonts w:eastAsia="Times New Roman" w:cs="Times New Roman"/>
                <w:color w:val="000000"/>
              </w:rPr>
              <w:t xml:space="preserve"> preparation</w:t>
            </w:r>
            <w:r w:rsidR="00282FBC">
              <w:rPr>
                <w:rFonts w:eastAsia="Times New Roman" w:cs="Times New Roman"/>
                <w:color w:val="000000"/>
              </w:rPr>
              <w:t xml:space="preserve">, including </w:t>
            </w:r>
            <w:r w:rsidR="005956DE" w:rsidRPr="00AE595D">
              <w:rPr>
                <w:rFonts w:eastAsia="Times New Roman" w:cs="Times New Roman"/>
                <w:color w:val="000000"/>
              </w:rPr>
              <w:t>skin preparation for patients with ostomies.</w:t>
            </w:r>
          </w:p>
        </w:tc>
        <w:tc>
          <w:tcPr>
            <w:tcW w:w="702" w:type="pct"/>
          </w:tcPr>
          <w:p w14:paraId="373CA566" w14:textId="77777777" w:rsidR="005956DE" w:rsidRPr="00AE595D" w:rsidRDefault="002D0AFF" w:rsidP="005F5B68">
            <w:pPr>
              <w:pStyle w:val="TableParagraph"/>
              <w:rPr>
                <w:rFonts w:eastAsia="Times New Roman" w:cs="Times New Roman"/>
                <w:color w:val="000000"/>
              </w:rPr>
            </w:pPr>
            <w:r w:rsidRPr="00AE595D">
              <w:t>Skin preparation</w:t>
            </w:r>
          </w:p>
        </w:tc>
      </w:tr>
    </w:tbl>
    <w:p w14:paraId="5D4D131E" w14:textId="6C77A51F" w:rsidR="006A1585" w:rsidRPr="00AE595D" w:rsidRDefault="00011880" w:rsidP="00AE595D">
      <w:pPr>
        <w:spacing w:after="120" w:line="240" w:lineRule="auto"/>
        <w:rPr>
          <w:b/>
        </w:rPr>
      </w:pPr>
      <w:r w:rsidRPr="00AE595D">
        <w:t>Abbreviations:</w:t>
      </w:r>
      <w:r>
        <w:t xml:space="preserve"> ISCR = Improving Surgical Care and Recovery</w:t>
      </w:r>
    </w:p>
    <w:p w14:paraId="70E3498D" w14:textId="77777777" w:rsidR="00F746A8" w:rsidRDefault="00F746A8">
      <w:pPr>
        <w:pStyle w:val="Heading2"/>
      </w:pPr>
    </w:p>
    <w:p w14:paraId="5A899664" w14:textId="77777777" w:rsidR="00F746A8" w:rsidRDefault="00F746A8">
      <w:pPr>
        <w:spacing w:after="160" w:line="259" w:lineRule="auto"/>
        <w:ind w:left="360" w:hanging="360"/>
        <w:rPr>
          <w:b/>
          <w:bCs/>
          <w:sz w:val="28"/>
          <w:szCs w:val="28"/>
        </w:rPr>
      </w:pPr>
      <w:r>
        <w:br w:type="page"/>
      </w:r>
    </w:p>
    <w:p w14:paraId="6B5B5105" w14:textId="77777777" w:rsidR="006A1585" w:rsidRDefault="00F746A8">
      <w:pPr>
        <w:pStyle w:val="Heading2"/>
      </w:pPr>
      <w:bookmarkStart w:id="24" w:name="_Toc117000805"/>
      <w:r>
        <w:lastRenderedPageBreak/>
        <w:t>I</w:t>
      </w:r>
      <w:r w:rsidR="006A1585" w:rsidRPr="00AE595D">
        <w:t>ntraoperative</w:t>
      </w:r>
      <w:r w:rsidR="005F5B68" w:rsidRPr="005F5B68">
        <w:t xml:space="preserve"> Anesthesia</w:t>
      </w:r>
      <w:bookmarkEnd w:id="24"/>
      <w:r w:rsidR="00FE350B">
        <w:t xml:space="preserve"> </w:t>
      </w:r>
    </w:p>
    <w:p w14:paraId="29400CBA" w14:textId="1AB4938E" w:rsidR="005F5B68" w:rsidRPr="005F5B68" w:rsidRDefault="005F5B68" w:rsidP="00EC3092">
      <w:pPr>
        <w:pStyle w:val="BodyText1"/>
      </w:pPr>
      <w:r w:rsidRPr="005F5B68">
        <w:t>Intraoperative anesthesia should be tailored to optimize anesthetic depth while facilitating rapid awakening after completion of the surgical procedure. Adjunct</w:t>
      </w:r>
      <w:r w:rsidR="0094023A" w:rsidRPr="0094023A">
        <w:t xml:space="preserve"> </w:t>
      </w:r>
      <w:r w:rsidR="0094023A" w:rsidRPr="00607F32">
        <w:t>agents</w:t>
      </w:r>
      <w:r w:rsidRPr="005F5B68">
        <w:t xml:space="preserve"> that allow potent, long-acting opiates to be avoided should be considered. Standardized pathways should include multimodal strategies to prevent nausea and vomiting</w:t>
      </w:r>
      <w:r w:rsidR="0094023A">
        <w:t xml:space="preserve"> in the </w:t>
      </w:r>
      <w:r w:rsidR="0094023A" w:rsidRPr="005F5B68">
        <w:t>postoperative</w:t>
      </w:r>
      <w:r w:rsidR="0094023A">
        <w:t xml:space="preserve"> period.</w:t>
      </w:r>
    </w:p>
    <w:p w14:paraId="1935023B" w14:textId="77777777" w:rsidR="005F5B68" w:rsidRPr="005F5B68" w:rsidRDefault="005F5B68" w:rsidP="00EC3092">
      <w:pPr>
        <w:pStyle w:val="Bullet1"/>
        <w:numPr>
          <w:ilvl w:val="0"/>
          <w:numId w:val="0"/>
        </w:numPr>
      </w:pPr>
      <w:r w:rsidRPr="005F5B68">
        <w:t xml:space="preserve">Minimize use of opioids and </w:t>
      </w:r>
      <w:r w:rsidR="00490C04">
        <w:t xml:space="preserve">consider the </w:t>
      </w:r>
      <w:r w:rsidRPr="005F5B68">
        <w:t xml:space="preserve">use </w:t>
      </w:r>
      <w:r w:rsidR="00490C04">
        <w:t xml:space="preserve">of </w:t>
      </w:r>
      <w:r w:rsidRPr="005F5B68">
        <w:t>anesthetic agents/techniques, such as:</w:t>
      </w:r>
    </w:p>
    <w:p w14:paraId="21A34FED" w14:textId="470E244C" w:rsidR="005F5B68" w:rsidRPr="005F5B68" w:rsidRDefault="005F5B68" w:rsidP="001F1A09">
      <w:pPr>
        <w:pStyle w:val="Bullet1"/>
        <w:spacing w:before="120" w:line="240" w:lineRule="auto"/>
      </w:pPr>
      <w:r w:rsidRPr="005F5B68">
        <w:t>I</w:t>
      </w:r>
      <w:r w:rsidR="00490C04">
        <w:t xml:space="preserve">ntravenous </w:t>
      </w:r>
      <w:r w:rsidRPr="005F5B68">
        <w:t>infusions of anesthetics (</w:t>
      </w:r>
      <w:r w:rsidR="00490C04">
        <w:t>e</w:t>
      </w:r>
      <w:r w:rsidR="00FD2CFF">
        <w:t>.g</w:t>
      </w:r>
      <w:r w:rsidR="00490C04">
        <w:t xml:space="preserve">., </w:t>
      </w:r>
      <w:r w:rsidRPr="005F5B68">
        <w:t>lidocaine, ketamine, magnesium)</w:t>
      </w:r>
    </w:p>
    <w:p w14:paraId="113DFD4F" w14:textId="21E22360" w:rsidR="005F5B68" w:rsidRPr="005F5B68" w:rsidRDefault="005F5B68" w:rsidP="001F1A09">
      <w:pPr>
        <w:pStyle w:val="Bullet1"/>
        <w:spacing w:before="120" w:line="240" w:lineRule="auto"/>
      </w:pPr>
      <w:r w:rsidRPr="005F5B68">
        <w:t>Regional anesthesia (</w:t>
      </w:r>
      <w:r w:rsidR="00490C04">
        <w:t>e</w:t>
      </w:r>
      <w:r w:rsidR="00FD2CFF">
        <w:t>.g</w:t>
      </w:r>
      <w:r w:rsidR="00490C04">
        <w:t xml:space="preserve">., </w:t>
      </w:r>
      <w:r w:rsidRPr="005F5B68">
        <w:t xml:space="preserve">epidural, spinal, or </w:t>
      </w:r>
      <w:r w:rsidR="00490C04">
        <w:t>peripheral</w:t>
      </w:r>
      <w:r w:rsidR="00490C04" w:rsidRPr="005F5B68">
        <w:t xml:space="preserve"> </w:t>
      </w:r>
      <w:r w:rsidRPr="005F5B68">
        <w:t>block</w:t>
      </w:r>
      <w:r w:rsidR="00490C04">
        <w:t xml:space="preserve"> or intrathecal morphine</w:t>
      </w:r>
      <w:r w:rsidRPr="005F5B68">
        <w:t>)</w:t>
      </w:r>
    </w:p>
    <w:p w14:paraId="122B7ABF" w14:textId="1C8D5F5E" w:rsidR="005F5B68" w:rsidRPr="005F5B68" w:rsidRDefault="005F5B68" w:rsidP="001F1A09">
      <w:pPr>
        <w:pStyle w:val="Bullet1"/>
        <w:spacing w:before="120" w:line="240" w:lineRule="auto"/>
      </w:pPr>
      <w:r w:rsidRPr="005F5B68">
        <w:t>General anesthesia (</w:t>
      </w:r>
      <w:r w:rsidR="00490C04">
        <w:t>e</w:t>
      </w:r>
      <w:r w:rsidR="00FD2CFF">
        <w:t>.g</w:t>
      </w:r>
      <w:r w:rsidR="00490C04">
        <w:t xml:space="preserve">., </w:t>
      </w:r>
      <w:r w:rsidRPr="005F5B68">
        <w:t>propofol/total intravenous anesthesia)</w:t>
      </w:r>
    </w:p>
    <w:p w14:paraId="2910A9F6" w14:textId="1A457760" w:rsidR="005F5B68" w:rsidRPr="005F5B68" w:rsidRDefault="005F5B68" w:rsidP="001F1A09">
      <w:pPr>
        <w:pStyle w:val="Bullet1"/>
        <w:spacing w:before="120" w:line="240" w:lineRule="auto"/>
      </w:pPr>
      <w:r w:rsidRPr="005F5B68">
        <w:t>Postoperative nausea and vomiting</w:t>
      </w:r>
      <w:r w:rsidR="00490C04">
        <w:t xml:space="preserve"> </w:t>
      </w:r>
      <w:r w:rsidRPr="005F5B68">
        <w:t>prophylaxis</w:t>
      </w:r>
    </w:p>
    <w:p w14:paraId="7F54FB29" w14:textId="35908453" w:rsidR="005F5B68" w:rsidRPr="005F5B68" w:rsidRDefault="005F5B68" w:rsidP="00EC3092">
      <w:pPr>
        <w:pStyle w:val="BodyText1"/>
      </w:pPr>
      <w:r w:rsidRPr="005F5B68">
        <w:rPr>
          <w:i/>
        </w:rPr>
        <w:t>Considerations for</w:t>
      </w:r>
      <w:r w:rsidR="00D7245F">
        <w:rPr>
          <w:i/>
        </w:rPr>
        <w:t xml:space="preserve"> </w:t>
      </w:r>
      <w:r w:rsidR="00011880">
        <w:rPr>
          <w:i/>
        </w:rPr>
        <w:t>emergency general surgery (</w:t>
      </w:r>
      <w:r w:rsidR="00D7245F">
        <w:rPr>
          <w:i/>
        </w:rPr>
        <w:t>EGS</w:t>
      </w:r>
      <w:r w:rsidR="00011880">
        <w:rPr>
          <w:i/>
        </w:rPr>
        <w:t>)</w:t>
      </w:r>
      <w:r w:rsidRPr="005F5B68">
        <w:rPr>
          <w:i/>
        </w:rPr>
        <w:t xml:space="preserve"> </w:t>
      </w:r>
      <w:r w:rsidR="00D7245F">
        <w:rPr>
          <w:i/>
        </w:rPr>
        <w:t>(</w:t>
      </w:r>
      <w:r w:rsidRPr="005F5B68">
        <w:rPr>
          <w:i/>
        </w:rPr>
        <w:t>major abdominal procedures</w:t>
      </w:r>
      <w:r w:rsidR="00D7245F">
        <w:rPr>
          <w:i/>
        </w:rPr>
        <w:t>)</w:t>
      </w:r>
      <w:r w:rsidRPr="005F5B68">
        <w:t>: Neuromuscular monitoring should be used to ensure full reversal of the patient at the end of the procedure. EGS patients can be at particular risk for complications of partial reversal, due to acidosis, relative hypothermia, and potentially having a full stomach due to the acute presentation of their disease.</w:t>
      </w:r>
    </w:p>
    <w:p w14:paraId="7A3447F5" w14:textId="2D9A6459" w:rsidR="005F5B68" w:rsidRPr="005F5B68" w:rsidRDefault="005F5B68" w:rsidP="00EC3092">
      <w:pPr>
        <w:pStyle w:val="BodyText1"/>
      </w:pPr>
      <w:r w:rsidRPr="005F5B68">
        <w:rPr>
          <w:i/>
        </w:rPr>
        <w:t>A note on choosing anesthetic agents:</w:t>
      </w:r>
      <w:r w:rsidRPr="005F5B68">
        <w:t xml:space="preserve"> The choice of regional versus general anesthesia should be made by the anesthesiologist in conjunction with the perioperative team and should be tailored to the individual patient and skill set of the providers. Intrathecal hydrophilic opioids such as morphine may provide prolonged postoperative analgesia but require coordination with the postoperative care team to ensure appropriate monitoring is available.</w:t>
      </w:r>
    </w:p>
    <w:tbl>
      <w:tblPr>
        <w:tblStyle w:val="GridTable1Light1"/>
        <w:tblW w:w="5000" w:type="pct"/>
        <w:tblLook w:val="0600" w:firstRow="0" w:lastRow="0" w:firstColumn="0" w:lastColumn="0" w:noHBand="1" w:noVBand="1"/>
      </w:tblPr>
      <w:tblGrid>
        <w:gridCol w:w="1525"/>
        <w:gridCol w:w="1801"/>
        <w:gridCol w:w="10801"/>
        <w:gridCol w:w="2519"/>
        <w:gridCol w:w="3058"/>
        <w:gridCol w:w="3326"/>
      </w:tblGrid>
      <w:tr w:rsidR="004B3D41" w:rsidRPr="00AE595D" w14:paraId="2BE62647" w14:textId="77777777" w:rsidTr="00D033DE">
        <w:trPr>
          <w:cantSplit/>
          <w:trHeight w:val="973"/>
          <w:tblHeader/>
        </w:trPr>
        <w:tc>
          <w:tcPr>
            <w:tcW w:w="331" w:type="pct"/>
            <w:hideMark/>
          </w:tcPr>
          <w:p w14:paraId="42B969C8" w14:textId="26E70CDB" w:rsidR="004B3D41" w:rsidRPr="00AE595D" w:rsidRDefault="004B3D41" w:rsidP="00881220">
            <w:pPr>
              <w:spacing w:after="120" w:line="240" w:lineRule="auto"/>
              <w:ind w:left="159"/>
            </w:pPr>
            <w:r w:rsidRPr="00AE595D">
              <w:rPr>
                <w:b/>
                <w:bCs/>
              </w:rPr>
              <w:t xml:space="preserve">Pathway </w:t>
            </w:r>
          </w:p>
        </w:tc>
        <w:tc>
          <w:tcPr>
            <w:tcW w:w="391" w:type="pct"/>
            <w:hideMark/>
          </w:tcPr>
          <w:p w14:paraId="5E1BE729" w14:textId="77777777" w:rsidR="004B3D41" w:rsidRPr="00AE595D" w:rsidRDefault="004B3D41" w:rsidP="00AE595D">
            <w:pPr>
              <w:spacing w:after="120" w:line="240" w:lineRule="auto"/>
              <w:rPr>
                <w:b/>
                <w:bCs/>
              </w:rPr>
            </w:pPr>
            <w:r w:rsidRPr="00AE595D">
              <w:rPr>
                <w:b/>
                <w:bCs/>
              </w:rPr>
              <w:t>Component</w:t>
            </w:r>
          </w:p>
        </w:tc>
        <w:tc>
          <w:tcPr>
            <w:tcW w:w="2345" w:type="pct"/>
            <w:hideMark/>
          </w:tcPr>
          <w:p w14:paraId="6F7FF100" w14:textId="17087F14" w:rsidR="00494512" w:rsidRDefault="004B3D41" w:rsidP="00AE595D">
            <w:pPr>
              <w:spacing w:after="120" w:line="240" w:lineRule="auto"/>
              <w:rPr>
                <w:b/>
                <w:bCs/>
              </w:rPr>
            </w:pPr>
            <w:r w:rsidRPr="00AE595D">
              <w:rPr>
                <w:b/>
                <w:bCs/>
              </w:rPr>
              <w:t xml:space="preserve">Example Processes </w:t>
            </w:r>
            <w:r w:rsidR="00011880">
              <w:rPr>
                <w:b/>
                <w:bCs/>
              </w:rPr>
              <w:t>T</w:t>
            </w:r>
            <w:r w:rsidRPr="00AE595D">
              <w:rPr>
                <w:b/>
                <w:bCs/>
              </w:rPr>
              <w:t>o Consider</w:t>
            </w:r>
          </w:p>
          <w:p w14:paraId="1A4D766D" w14:textId="77777777" w:rsidR="004B3D41" w:rsidRPr="00494512" w:rsidRDefault="004B3D41" w:rsidP="00AE595D">
            <w:pPr>
              <w:spacing w:after="120" w:line="240" w:lineRule="auto"/>
              <w:rPr>
                <w:i/>
              </w:rPr>
            </w:pPr>
            <w:r w:rsidRPr="00494512">
              <w:rPr>
                <w:bCs/>
                <w:i/>
              </w:rPr>
              <w:t>As a team, go through each component and discuss what approach best fits your hospital. It may be an option other than what is listed below.</w:t>
            </w:r>
          </w:p>
        </w:tc>
        <w:tc>
          <w:tcPr>
            <w:tcW w:w="547" w:type="pct"/>
            <w:hideMark/>
          </w:tcPr>
          <w:p w14:paraId="28C4FCF4" w14:textId="77777777" w:rsidR="004B3D41" w:rsidRPr="00AE595D" w:rsidRDefault="004B3D41" w:rsidP="00AE595D">
            <w:pPr>
              <w:spacing w:after="120" w:line="240" w:lineRule="auto"/>
            </w:pPr>
            <w:r w:rsidRPr="00AE595D">
              <w:rPr>
                <w:b/>
                <w:bCs/>
              </w:rPr>
              <w:t>Team Decisions/Notes</w:t>
            </w:r>
          </w:p>
          <w:p w14:paraId="2828EFD0" w14:textId="77777777" w:rsidR="004B3D41" w:rsidRPr="00494512" w:rsidRDefault="004B3D41" w:rsidP="00AE595D">
            <w:pPr>
              <w:spacing w:after="120" w:line="240" w:lineRule="auto"/>
              <w:rPr>
                <w:i/>
              </w:rPr>
            </w:pPr>
            <w:r w:rsidRPr="00494512">
              <w:rPr>
                <w:bCs/>
                <w:i/>
              </w:rPr>
              <w:t>As a team, note exceptions and contraindications to the treatment or medications.</w:t>
            </w:r>
          </w:p>
        </w:tc>
        <w:tc>
          <w:tcPr>
            <w:tcW w:w="664" w:type="pct"/>
            <w:hideMark/>
          </w:tcPr>
          <w:p w14:paraId="4584C9DE" w14:textId="6338AEDB" w:rsidR="004B3D41" w:rsidRPr="00AE595D" w:rsidRDefault="00AA140E" w:rsidP="00AE595D">
            <w:pPr>
              <w:spacing w:after="120" w:line="240" w:lineRule="auto"/>
            </w:pPr>
            <w:r>
              <w:rPr>
                <w:b/>
                <w:bCs/>
              </w:rPr>
              <w:t xml:space="preserve">Other Available Resources </w:t>
            </w:r>
            <w:r w:rsidR="00011880">
              <w:rPr>
                <w:b/>
                <w:bCs/>
              </w:rPr>
              <w:t>and</w:t>
            </w:r>
            <w:r>
              <w:rPr>
                <w:b/>
                <w:bCs/>
              </w:rPr>
              <w:t xml:space="preserve"> Tips </w:t>
            </w:r>
            <w:r w:rsidR="00011880">
              <w:rPr>
                <w:b/>
                <w:bCs/>
              </w:rPr>
              <w:t>T</w:t>
            </w:r>
            <w:r>
              <w:rPr>
                <w:b/>
                <w:bCs/>
              </w:rPr>
              <w:t>o Consider</w:t>
            </w:r>
          </w:p>
        </w:tc>
        <w:tc>
          <w:tcPr>
            <w:tcW w:w="722" w:type="pct"/>
            <w:hideMark/>
          </w:tcPr>
          <w:p w14:paraId="1241122F" w14:textId="77777777" w:rsidR="009F40B9" w:rsidRPr="009F40B9" w:rsidRDefault="009F40B9" w:rsidP="009F40B9">
            <w:pPr>
              <w:pStyle w:val="TableParagraph"/>
              <w:rPr>
                <w:rStyle w:val="Strong"/>
              </w:rPr>
            </w:pPr>
            <w:r w:rsidRPr="009F40B9">
              <w:rPr>
                <w:rStyle w:val="Strong"/>
              </w:rPr>
              <w:t>ISCR Measures</w:t>
            </w:r>
          </w:p>
          <w:p w14:paraId="656341F4" w14:textId="77777777" w:rsidR="004B3D41" w:rsidRPr="00AE595D" w:rsidRDefault="009F40B9" w:rsidP="009F40B9">
            <w:pPr>
              <w:spacing w:after="120" w:line="240" w:lineRule="auto"/>
            </w:pPr>
            <w:r w:rsidRPr="009F40B9">
              <w:rPr>
                <w:rStyle w:val="Strong"/>
                <w:b w:val="0"/>
                <w:i/>
              </w:rPr>
              <w:t>As a team, decide on specific and standardized measures you can track at your hospital. It may be helpful to record your definitions here.</w:t>
            </w:r>
          </w:p>
        </w:tc>
      </w:tr>
      <w:tr w:rsidR="005956DE" w:rsidRPr="00AE595D" w14:paraId="7DEA6A3B" w14:textId="77777777" w:rsidTr="00B82607">
        <w:trPr>
          <w:cantSplit/>
          <w:trHeight w:val="5147"/>
        </w:trPr>
        <w:tc>
          <w:tcPr>
            <w:tcW w:w="331" w:type="pct"/>
            <w:hideMark/>
          </w:tcPr>
          <w:p w14:paraId="37573634" w14:textId="77777777" w:rsidR="005956DE" w:rsidRPr="00B01F5D" w:rsidRDefault="00490C04" w:rsidP="00AE595D">
            <w:pPr>
              <w:spacing w:after="120" w:line="240" w:lineRule="auto"/>
              <w:ind w:left="159"/>
              <w:rPr>
                <w:b/>
              </w:rPr>
            </w:pPr>
            <w:r>
              <w:rPr>
                <w:b/>
              </w:rPr>
              <w:t>All ISCR Pathways</w:t>
            </w:r>
          </w:p>
        </w:tc>
        <w:tc>
          <w:tcPr>
            <w:tcW w:w="391" w:type="pct"/>
          </w:tcPr>
          <w:p w14:paraId="27C73C83" w14:textId="77777777" w:rsidR="005956DE" w:rsidRPr="00AE595D" w:rsidRDefault="005956DE" w:rsidP="00AE595D">
            <w:pPr>
              <w:spacing w:after="120" w:line="240" w:lineRule="auto"/>
              <w:rPr>
                <w:b/>
                <w:bCs/>
              </w:rPr>
            </w:pPr>
            <w:r w:rsidRPr="00AE595D">
              <w:rPr>
                <w:b/>
                <w:bCs/>
              </w:rPr>
              <w:t>Standard Intraoperative Anesthesia Pathway</w:t>
            </w:r>
          </w:p>
        </w:tc>
        <w:tc>
          <w:tcPr>
            <w:tcW w:w="2345" w:type="pct"/>
          </w:tcPr>
          <w:p w14:paraId="21693C57" w14:textId="77777777" w:rsidR="007204E8" w:rsidRPr="00B01F5D" w:rsidRDefault="007204E8" w:rsidP="00AE595D">
            <w:pPr>
              <w:spacing w:after="120" w:line="240" w:lineRule="auto"/>
              <w:rPr>
                <w:rFonts w:eastAsia="Times New Roman" w:cs="Times New Roman"/>
                <w:b/>
                <w:color w:val="000000"/>
              </w:rPr>
            </w:pPr>
            <w:r w:rsidRPr="00B01F5D">
              <w:rPr>
                <w:rFonts w:eastAsia="Times New Roman" w:cs="Times New Roman"/>
                <w:b/>
                <w:color w:val="000000"/>
              </w:rPr>
              <w:t xml:space="preserve">Example approach: Below are </w:t>
            </w:r>
            <w:r w:rsidRPr="009C7C23">
              <w:rPr>
                <w:rFonts w:eastAsia="Times New Roman" w:cs="Times New Roman"/>
                <w:b/>
                <w:color w:val="000000"/>
              </w:rPr>
              <w:t>three elements</w:t>
            </w:r>
            <w:r w:rsidRPr="00B01F5D">
              <w:rPr>
                <w:rFonts w:eastAsia="Times New Roman" w:cs="Times New Roman"/>
                <w:b/>
                <w:color w:val="000000"/>
              </w:rPr>
              <w:t xml:space="preserve"> which you should consider when building your protocol:</w:t>
            </w:r>
          </w:p>
          <w:p w14:paraId="5D3CABC6" w14:textId="77777777" w:rsidR="007204E8" w:rsidRPr="00AE595D" w:rsidRDefault="007204E8" w:rsidP="007F7E50">
            <w:pPr>
              <w:pStyle w:val="ListParagraph"/>
              <w:numPr>
                <w:ilvl w:val="0"/>
                <w:numId w:val="11"/>
              </w:numPr>
              <w:spacing w:after="120" w:line="240" w:lineRule="auto"/>
              <w:contextualSpacing w:val="0"/>
              <w:rPr>
                <w:rFonts w:eastAsia="Times New Roman" w:cs="Times New Roman"/>
                <w:color w:val="000000"/>
              </w:rPr>
            </w:pPr>
            <w:r w:rsidRPr="00AE595D">
              <w:rPr>
                <w:rFonts w:eastAsia="Times New Roman" w:cs="Times New Roman"/>
                <w:color w:val="000000"/>
              </w:rPr>
              <w:t>Type of anesthesia and analgesia to allow rapid awakening, return of function and minimize opioids:</w:t>
            </w:r>
          </w:p>
          <w:p w14:paraId="7B96A06B" w14:textId="1042AA3F" w:rsidR="007204E8" w:rsidRPr="00AE595D" w:rsidRDefault="007204E8" w:rsidP="007F7E50">
            <w:pPr>
              <w:pStyle w:val="ListParagraph"/>
              <w:numPr>
                <w:ilvl w:val="0"/>
                <w:numId w:val="12"/>
              </w:numPr>
              <w:spacing w:after="120" w:line="240" w:lineRule="auto"/>
              <w:contextualSpacing w:val="0"/>
              <w:rPr>
                <w:rFonts w:eastAsia="Times New Roman" w:cs="Times New Roman"/>
                <w:color w:val="000000"/>
              </w:rPr>
            </w:pPr>
            <w:r w:rsidRPr="00AE595D">
              <w:rPr>
                <w:rFonts w:eastAsia="Times New Roman" w:cs="Times New Roman"/>
                <w:color w:val="000000"/>
              </w:rPr>
              <w:t xml:space="preserve">General anesthesia </w:t>
            </w:r>
            <w:r w:rsidR="00011880">
              <w:rPr>
                <w:rFonts w:eastAsia="Times New Roman" w:cs="Times New Roman"/>
                <w:color w:val="000000"/>
              </w:rPr>
              <w:t>(</w:t>
            </w:r>
            <w:r w:rsidRPr="00AE595D">
              <w:rPr>
                <w:rFonts w:eastAsia="Times New Roman" w:cs="Times New Roman"/>
                <w:color w:val="000000"/>
              </w:rPr>
              <w:t>e.g.</w:t>
            </w:r>
            <w:r w:rsidR="00282FBC">
              <w:rPr>
                <w:rFonts w:eastAsia="Times New Roman" w:cs="Times New Roman"/>
                <w:color w:val="000000"/>
              </w:rPr>
              <w:t>,</w:t>
            </w:r>
            <w:r w:rsidRPr="00AE595D">
              <w:rPr>
                <w:rFonts w:eastAsia="Times New Roman" w:cs="Times New Roman"/>
                <w:color w:val="000000"/>
              </w:rPr>
              <w:t xml:space="preserve"> </w:t>
            </w:r>
            <w:r w:rsidR="00A9659F">
              <w:rPr>
                <w:rFonts w:eastAsia="Times New Roman" w:cs="Times New Roman"/>
                <w:color w:val="000000"/>
              </w:rPr>
              <w:t>d</w:t>
            </w:r>
            <w:r w:rsidR="00A9659F" w:rsidRPr="00AE595D">
              <w:rPr>
                <w:rFonts w:eastAsia="Times New Roman" w:cs="Times New Roman"/>
                <w:color w:val="000000"/>
              </w:rPr>
              <w:t>esflurane</w:t>
            </w:r>
            <w:r w:rsidRPr="00AE595D">
              <w:rPr>
                <w:rFonts w:eastAsia="Times New Roman" w:cs="Times New Roman"/>
                <w:color w:val="000000"/>
              </w:rPr>
              <w:t xml:space="preserve">, </w:t>
            </w:r>
            <w:r w:rsidR="00A9659F">
              <w:rPr>
                <w:rFonts w:eastAsia="Times New Roman" w:cs="Times New Roman"/>
                <w:color w:val="000000"/>
              </w:rPr>
              <w:t>s</w:t>
            </w:r>
            <w:r w:rsidR="00A9659F" w:rsidRPr="00AE595D">
              <w:rPr>
                <w:rFonts w:eastAsia="Times New Roman" w:cs="Times New Roman"/>
                <w:color w:val="000000"/>
              </w:rPr>
              <w:t>evoflurane</w:t>
            </w:r>
            <w:r w:rsidRPr="00AE595D">
              <w:rPr>
                <w:rFonts w:eastAsia="Times New Roman" w:cs="Times New Roman"/>
                <w:color w:val="000000"/>
              </w:rPr>
              <w:t xml:space="preserve">, </w:t>
            </w:r>
            <w:r w:rsidR="00A9659F">
              <w:rPr>
                <w:rFonts w:eastAsia="Times New Roman" w:cs="Times New Roman"/>
                <w:color w:val="000000"/>
              </w:rPr>
              <w:t>p</w:t>
            </w:r>
            <w:r w:rsidR="00A9659F" w:rsidRPr="00AE595D">
              <w:rPr>
                <w:rFonts w:eastAsia="Times New Roman" w:cs="Times New Roman"/>
                <w:color w:val="000000"/>
              </w:rPr>
              <w:t xml:space="preserve">ropofol </w:t>
            </w:r>
            <w:r w:rsidRPr="00AE595D">
              <w:rPr>
                <w:rFonts w:eastAsia="Times New Roman" w:cs="Times New Roman"/>
                <w:color w:val="000000"/>
              </w:rPr>
              <w:t>/total intravenous anesthesia</w:t>
            </w:r>
            <w:r w:rsidR="00011880">
              <w:rPr>
                <w:rFonts w:eastAsia="Times New Roman" w:cs="Times New Roman"/>
                <w:color w:val="000000"/>
              </w:rPr>
              <w:t>)</w:t>
            </w:r>
          </w:p>
          <w:p w14:paraId="5C9532BD" w14:textId="6913A077" w:rsidR="00D73A98" w:rsidRPr="0019570D" w:rsidRDefault="007204E8" w:rsidP="0019570D">
            <w:pPr>
              <w:pStyle w:val="ListParagraph"/>
              <w:numPr>
                <w:ilvl w:val="0"/>
                <w:numId w:val="12"/>
              </w:numPr>
              <w:spacing w:after="120" w:line="240" w:lineRule="auto"/>
              <w:contextualSpacing w:val="0"/>
              <w:rPr>
                <w:rFonts w:eastAsia="Times New Roman" w:cs="Times New Roman"/>
                <w:color w:val="000000"/>
              </w:rPr>
            </w:pPr>
            <w:r w:rsidRPr="00AE595D">
              <w:rPr>
                <w:rFonts w:eastAsia="Times New Roman" w:cs="Times New Roman"/>
                <w:color w:val="000000"/>
              </w:rPr>
              <w:t xml:space="preserve">Regional anesthesia </w:t>
            </w:r>
            <w:r w:rsidR="00011880">
              <w:rPr>
                <w:rFonts w:eastAsia="Times New Roman" w:cs="Times New Roman"/>
                <w:color w:val="000000"/>
              </w:rPr>
              <w:t>(</w:t>
            </w:r>
            <w:r w:rsidRPr="00AE595D">
              <w:rPr>
                <w:rFonts w:eastAsia="Times New Roman" w:cs="Times New Roman"/>
                <w:color w:val="000000"/>
              </w:rPr>
              <w:t>e.g.</w:t>
            </w:r>
            <w:r w:rsidR="00282FBC">
              <w:rPr>
                <w:rFonts w:eastAsia="Times New Roman" w:cs="Times New Roman"/>
                <w:color w:val="000000"/>
              </w:rPr>
              <w:t>,</w:t>
            </w:r>
            <w:r w:rsidRPr="00AE595D">
              <w:rPr>
                <w:rFonts w:eastAsia="Times New Roman" w:cs="Times New Roman"/>
                <w:color w:val="000000"/>
              </w:rPr>
              <w:t xml:space="preserve"> epidural, spinal, truncal peripheral nerve blocks </w:t>
            </w:r>
            <w:r w:rsidR="00011880">
              <w:rPr>
                <w:rFonts w:eastAsia="Times New Roman" w:cs="Times New Roman"/>
                <w:color w:val="000000"/>
              </w:rPr>
              <w:t>[</w:t>
            </w:r>
            <w:r w:rsidRPr="00AE595D">
              <w:rPr>
                <w:rFonts w:eastAsia="Times New Roman" w:cs="Times New Roman"/>
                <w:color w:val="000000"/>
              </w:rPr>
              <w:t>e.g.</w:t>
            </w:r>
            <w:r w:rsidR="00282FBC">
              <w:rPr>
                <w:rFonts w:eastAsia="Times New Roman" w:cs="Times New Roman"/>
                <w:color w:val="000000"/>
              </w:rPr>
              <w:t>,</w:t>
            </w:r>
            <w:r w:rsidRPr="00AE595D">
              <w:rPr>
                <w:rFonts w:eastAsia="Times New Roman" w:cs="Times New Roman"/>
                <w:color w:val="000000"/>
              </w:rPr>
              <w:t xml:space="preserve"> transversus abdominis plane (TAP) </w:t>
            </w:r>
            <w:r w:rsidR="001B6974">
              <w:rPr>
                <w:rFonts w:eastAsia="Times New Roman" w:cs="Times New Roman"/>
                <w:color w:val="000000"/>
              </w:rPr>
              <w:t>b</w:t>
            </w:r>
            <w:r w:rsidRPr="00AE595D">
              <w:rPr>
                <w:rFonts w:eastAsia="Times New Roman" w:cs="Times New Roman"/>
                <w:color w:val="000000"/>
              </w:rPr>
              <w:t>lock)/catheters]</w:t>
            </w:r>
            <w:r w:rsidR="00011880">
              <w:rPr>
                <w:rFonts w:eastAsia="Times New Roman" w:cs="Times New Roman"/>
                <w:color w:val="000000"/>
              </w:rPr>
              <w:t>)</w:t>
            </w:r>
          </w:p>
          <w:p w14:paraId="62C85EE4" w14:textId="77777777" w:rsidR="007204E8" w:rsidRPr="00AE595D" w:rsidRDefault="007204E8" w:rsidP="007F7E50">
            <w:pPr>
              <w:pStyle w:val="ListParagraph"/>
              <w:numPr>
                <w:ilvl w:val="0"/>
                <w:numId w:val="11"/>
              </w:numPr>
              <w:spacing w:after="120" w:line="240" w:lineRule="auto"/>
              <w:contextualSpacing w:val="0"/>
              <w:rPr>
                <w:rFonts w:eastAsia="Times New Roman" w:cs="Times New Roman"/>
                <w:color w:val="000000"/>
              </w:rPr>
            </w:pPr>
            <w:r w:rsidRPr="00AE595D">
              <w:rPr>
                <w:rFonts w:eastAsia="Times New Roman" w:cs="Times New Roman"/>
                <w:color w:val="000000"/>
              </w:rPr>
              <w:t>Non-narcotic analgesia adjuncts (one or more of the following)*:</w:t>
            </w:r>
          </w:p>
          <w:p w14:paraId="3BED2FB0" w14:textId="62138790" w:rsidR="007204E8" w:rsidRPr="00AE595D" w:rsidRDefault="007204E8" w:rsidP="007F7E50">
            <w:pPr>
              <w:pStyle w:val="ListParagraph"/>
              <w:numPr>
                <w:ilvl w:val="0"/>
                <w:numId w:val="13"/>
              </w:numPr>
              <w:spacing w:after="120" w:line="240" w:lineRule="auto"/>
              <w:contextualSpacing w:val="0"/>
              <w:rPr>
                <w:rFonts w:eastAsia="Times New Roman" w:cs="Times New Roman"/>
                <w:color w:val="000000"/>
              </w:rPr>
            </w:pPr>
            <w:r w:rsidRPr="00AE595D">
              <w:rPr>
                <w:rFonts w:eastAsia="Times New Roman" w:cs="Times New Roman"/>
                <w:color w:val="000000"/>
              </w:rPr>
              <w:t>I</w:t>
            </w:r>
            <w:r w:rsidR="00011880">
              <w:rPr>
                <w:rFonts w:eastAsia="Times New Roman" w:cs="Times New Roman"/>
                <w:color w:val="000000"/>
              </w:rPr>
              <w:t>ntravenous</w:t>
            </w:r>
            <w:r w:rsidRPr="00AE595D">
              <w:rPr>
                <w:rFonts w:eastAsia="Times New Roman" w:cs="Times New Roman"/>
                <w:color w:val="000000"/>
              </w:rPr>
              <w:t xml:space="preserve"> </w:t>
            </w:r>
            <w:r w:rsidR="00A9659F">
              <w:rPr>
                <w:rFonts w:eastAsia="Times New Roman" w:cs="Times New Roman"/>
                <w:color w:val="000000"/>
              </w:rPr>
              <w:t>l</w:t>
            </w:r>
            <w:r w:rsidR="00A9659F" w:rsidRPr="00AE595D">
              <w:rPr>
                <w:rFonts w:eastAsia="Times New Roman" w:cs="Times New Roman"/>
                <w:color w:val="000000"/>
              </w:rPr>
              <w:t>idocaine</w:t>
            </w:r>
          </w:p>
          <w:p w14:paraId="154B4B22" w14:textId="77777777" w:rsidR="007204E8" w:rsidRPr="00AE595D" w:rsidRDefault="007204E8" w:rsidP="007F7E50">
            <w:pPr>
              <w:pStyle w:val="ListParagraph"/>
              <w:numPr>
                <w:ilvl w:val="0"/>
                <w:numId w:val="13"/>
              </w:numPr>
              <w:spacing w:after="120" w:line="240" w:lineRule="auto"/>
              <w:contextualSpacing w:val="0"/>
              <w:rPr>
                <w:rFonts w:eastAsia="Times New Roman" w:cs="Times New Roman"/>
                <w:color w:val="000000"/>
              </w:rPr>
            </w:pPr>
            <w:r w:rsidRPr="00AE595D">
              <w:rPr>
                <w:rFonts w:eastAsia="Times New Roman" w:cs="Times New Roman"/>
                <w:color w:val="000000"/>
              </w:rPr>
              <w:t>Ketamine</w:t>
            </w:r>
          </w:p>
          <w:p w14:paraId="048E02D0" w14:textId="77777777" w:rsidR="007204E8" w:rsidRPr="00AE595D" w:rsidRDefault="007204E8" w:rsidP="007F7E50">
            <w:pPr>
              <w:pStyle w:val="ListParagraph"/>
              <w:numPr>
                <w:ilvl w:val="0"/>
                <w:numId w:val="13"/>
              </w:numPr>
              <w:spacing w:after="120" w:line="240" w:lineRule="auto"/>
              <w:contextualSpacing w:val="0"/>
              <w:rPr>
                <w:rFonts w:eastAsia="Times New Roman" w:cs="Times New Roman"/>
                <w:color w:val="000000"/>
              </w:rPr>
            </w:pPr>
            <w:r w:rsidRPr="00AE595D">
              <w:rPr>
                <w:rFonts w:eastAsia="Times New Roman" w:cs="Times New Roman"/>
                <w:color w:val="000000"/>
              </w:rPr>
              <w:t>Magnesium</w:t>
            </w:r>
          </w:p>
          <w:p w14:paraId="68174F06" w14:textId="77777777" w:rsidR="00D73A98" w:rsidRPr="00F838E2" w:rsidRDefault="007204E8" w:rsidP="00890EAD">
            <w:pPr>
              <w:pStyle w:val="ListParagraph"/>
              <w:spacing w:after="120" w:line="240" w:lineRule="auto"/>
              <w:ind w:left="700"/>
              <w:contextualSpacing w:val="0"/>
              <w:rPr>
                <w:rFonts w:eastAsia="Times New Roman" w:cs="Times New Roman"/>
                <w:color w:val="000000"/>
              </w:rPr>
            </w:pPr>
            <w:r w:rsidRPr="00AE595D">
              <w:rPr>
                <w:rFonts w:eastAsia="Times New Roman" w:cs="Times New Roman"/>
                <w:color w:val="000000"/>
              </w:rPr>
              <w:t>*</w:t>
            </w:r>
            <w:r w:rsidRPr="00AE595D">
              <w:rPr>
                <w:rFonts w:eastAsia="Times New Roman" w:cs="Times New Roman"/>
                <w:i/>
                <w:color w:val="000000"/>
              </w:rPr>
              <w:t>Consensus dosing recommendations not available. Confer with local anesthesia providers</w:t>
            </w:r>
            <w:r w:rsidR="0082745F">
              <w:rPr>
                <w:rFonts w:eastAsia="Times New Roman" w:cs="Times New Roman"/>
                <w:i/>
                <w:color w:val="000000"/>
              </w:rPr>
              <w:t>, other perioperative healthcare providers,</w:t>
            </w:r>
            <w:r w:rsidRPr="00AE595D">
              <w:rPr>
                <w:rFonts w:eastAsia="Times New Roman" w:cs="Times New Roman"/>
                <w:i/>
                <w:color w:val="000000"/>
              </w:rPr>
              <w:t xml:space="preserve"> and pharmacists to develop standardized approach</w:t>
            </w:r>
          </w:p>
          <w:p w14:paraId="613F8C0B" w14:textId="77777777" w:rsidR="007204E8" w:rsidRPr="00AE595D" w:rsidRDefault="007204E8" w:rsidP="007F7E50">
            <w:pPr>
              <w:pStyle w:val="ListParagraph"/>
              <w:numPr>
                <w:ilvl w:val="0"/>
                <w:numId w:val="11"/>
              </w:numPr>
              <w:spacing w:after="120" w:line="240" w:lineRule="auto"/>
              <w:contextualSpacing w:val="0"/>
              <w:rPr>
                <w:rFonts w:eastAsia="Times New Roman" w:cs="Times New Roman"/>
                <w:color w:val="000000"/>
              </w:rPr>
            </w:pPr>
            <w:r w:rsidRPr="00AE595D">
              <w:rPr>
                <w:rFonts w:eastAsia="Times New Roman" w:cs="Times New Roman"/>
                <w:color w:val="000000"/>
              </w:rPr>
              <w:t>Postoperative nausea and vomiting prophylaxis:</w:t>
            </w:r>
          </w:p>
          <w:p w14:paraId="5DEC6D4B" w14:textId="77777777" w:rsidR="007204E8" w:rsidRPr="00AE595D" w:rsidRDefault="007204E8" w:rsidP="007F7E50">
            <w:pPr>
              <w:pStyle w:val="ListParagraph"/>
              <w:numPr>
                <w:ilvl w:val="0"/>
                <w:numId w:val="14"/>
              </w:numPr>
              <w:spacing w:after="120" w:line="240" w:lineRule="auto"/>
              <w:contextualSpacing w:val="0"/>
              <w:rPr>
                <w:rFonts w:eastAsia="Times New Roman" w:cs="Times New Roman"/>
                <w:color w:val="000000"/>
              </w:rPr>
            </w:pPr>
            <w:r w:rsidRPr="00AE595D">
              <w:rPr>
                <w:rFonts w:eastAsia="Times New Roman" w:cs="Times New Roman"/>
                <w:color w:val="000000"/>
              </w:rPr>
              <w:t xml:space="preserve">Ondansetron </w:t>
            </w:r>
          </w:p>
          <w:p w14:paraId="24F6066C" w14:textId="224478C7" w:rsidR="005956DE" w:rsidRPr="009C7C23" w:rsidRDefault="00EF21F5" w:rsidP="009C7C23">
            <w:pPr>
              <w:pStyle w:val="ListParagraph"/>
              <w:numPr>
                <w:ilvl w:val="0"/>
                <w:numId w:val="14"/>
              </w:numPr>
              <w:spacing w:after="120" w:line="240" w:lineRule="auto"/>
              <w:contextualSpacing w:val="0"/>
              <w:rPr>
                <w:rFonts w:eastAsia="Times New Roman" w:cs="Times New Roman"/>
                <w:color w:val="000000"/>
              </w:rPr>
            </w:pPr>
            <w:r w:rsidRPr="00AE595D">
              <w:rPr>
                <w:rFonts w:eastAsia="Times New Roman" w:cs="Times New Roman"/>
                <w:color w:val="000000"/>
              </w:rPr>
              <w:t xml:space="preserve">Dexamethasone </w:t>
            </w:r>
          </w:p>
        </w:tc>
        <w:tc>
          <w:tcPr>
            <w:tcW w:w="547" w:type="pct"/>
          </w:tcPr>
          <w:p w14:paraId="0D613607" w14:textId="093DE204" w:rsidR="005956DE" w:rsidRPr="00AE595D" w:rsidRDefault="00001AA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011880">
              <w:rPr>
                <w:rFonts w:eastAsia="Times New Roman" w:cs="Times New Roman"/>
                <w:i/>
                <w:color w:val="000000"/>
              </w:rPr>
              <w:t xml:space="preserve">team decisions/notes </w:t>
            </w:r>
            <w:r w:rsidRPr="007C7841">
              <w:rPr>
                <w:rFonts w:eastAsia="Times New Roman" w:cs="Times New Roman"/>
                <w:i/>
                <w:color w:val="000000"/>
              </w:rPr>
              <w:t>here</w:t>
            </w:r>
          </w:p>
        </w:tc>
        <w:tc>
          <w:tcPr>
            <w:tcW w:w="664" w:type="pct"/>
          </w:tcPr>
          <w:p w14:paraId="65626762" w14:textId="44146DE8" w:rsidR="005956DE" w:rsidRDefault="00B01F5D" w:rsidP="00B01F5D">
            <w:pPr>
              <w:spacing w:after="120" w:line="240" w:lineRule="auto"/>
              <w:rPr>
                <w:rFonts w:eastAsia="Times New Roman" w:cs="Times New Roman"/>
                <w:color w:val="000000"/>
                <w:highlight w:val="yellow"/>
                <w:vertAlign w:val="superscript"/>
              </w:rPr>
            </w:pPr>
            <w:r w:rsidRPr="00B01F5D">
              <w:rPr>
                <w:rFonts w:eastAsia="Times New Roman" w:cs="Times New Roman"/>
                <w:b/>
                <w:color w:val="000000"/>
              </w:rPr>
              <w:t>Resource:</w:t>
            </w:r>
            <w:r>
              <w:rPr>
                <w:rFonts w:eastAsia="Times New Roman" w:cs="Times New Roman"/>
                <w:color w:val="000000"/>
              </w:rPr>
              <w:t xml:space="preserve"> </w:t>
            </w:r>
            <w:r w:rsidR="00406AB9" w:rsidRPr="00B01F5D">
              <w:rPr>
                <w:rFonts w:eastAsia="Times New Roman" w:cs="Times New Roman"/>
                <w:color w:val="000000"/>
              </w:rPr>
              <w:t>A</w:t>
            </w:r>
            <w:r w:rsidR="00D9584B" w:rsidRPr="00B01F5D">
              <w:rPr>
                <w:rFonts w:eastAsia="Times New Roman" w:cs="Times New Roman"/>
                <w:color w:val="000000"/>
              </w:rPr>
              <w:t>nesthesia colorectal evidence re</w:t>
            </w:r>
            <w:r>
              <w:rPr>
                <w:rFonts w:eastAsia="Times New Roman" w:cs="Times New Roman"/>
                <w:color w:val="000000"/>
              </w:rPr>
              <w:t>view</w:t>
            </w:r>
            <w:r w:rsidRPr="00F746A8">
              <w:rPr>
                <w:rFonts w:eastAsia="Times New Roman" w:cs="Times New Roman"/>
                <w:color w:val="000000"/>
                <w:vertAlign w:val="superscript"/>
              </w:rPr>
              <w:t>1</w:t>
            </w:r>
          </w:p>
          <w:p w14:paraId="0B250753" w14:textId="6AC155FF" w:rsidR="00490C04" w:rsidRDefault="00490C04" w:rsidP="00B01F5D">
            <w:pPr>
              <w:spacing w:after="120" w:line="240" w:lineRule="auto"/>
              <w:rPr>
                <w:rFonts w:eastAsia="Times New Roman" w:cs="Times New Roman"/>
                <w:color w:val="000000"/>
              </w:rPr>
            </w:pPr>
            <w:r w:rsidRPr="00490C04">
              <w:rPr>
                <w:rFonts w:eastAsia="Times New Roman" w:cs="Times New Roman"/>
                <w:b/>
                <w:color w:val="000000"/>
              </w:rPr>
              <w:t>Resource</w:t>
            </w:r>
            <w:r w:rsidR="00D9584B" w:rsidRPr="00490C04">
              <w:rPr>
                <w:rFonts w:eastAsia="Times New Roman" w:cs="Times New Roman"/>
                <w:color w:val="000000"/>
              </w:rPr>
              <w:t xml:space="preserve">: </w:t>
            </w:r>
            <w:r w:rsidR="00406AB9" w:rsidRPr="00490C04">
              <w:rPr>
                <w:rFonts w:eastAsia="Times New Roman" w:cs="Times New Roman"/>
                <w:color w:val="000000"/>
              </w:rPr>
              <w:t>A</w:t>
            </w:r>
            <w:r w:rsidR="00D9584B" w:rsidRPr="00490C04">
              <w:rPr>
                <w:rFonts w:eastAsia="Times New Roman" w:cs="Times New Roman"/>
                <w:color w:val="000000"/>
              </w:rPr>
              <w:t xml:space="preserve">nesthesia </w:t>
            </w:r>
            <w:r w:rsidR="00D9584B">
              <w:rPr>
                <w:rFonts w:eastAsia="Times New Roman" w:cs="Times New Roman"/>
                <w:color w:val="000000"/>
              </w:rPr>
              <w:t>gynecologic</w:t>
            </w:r>
            <w:r w:rsidR="00D9584B" w:rsidRPr="00490C04">
              <w:rPr>
                <w:rFonts w:eastAsia="Times New Roman" w:cs="Times New Roman"/>
                <w:color w:val="000000"/>
              </w:rPr>
              <w:t xml:space="preserve"> evidence review</w:t>
            </w:r>
            <w:r w:rsidRPr="00490C04">
              <w:rPr>
                <w:rFonts w:eastAsia="Times New Roman" w:cs="Times New Roman"/>
                <w:color w:val="000000"/>
                <w:vertAlign w:val="superscript"/>
              </w:rPr>
              <w:t>2</w:t>
            </w:r>
          </w:p>
          <w:p w14:paraId="2696C422" w14:textId="0E1C3302" w:rsidR="00490C04" w:rsidRDefault="00490C04" w:rsidP="00B01F5D">
            <w:pPr>
              <w:spacing w:after="120" w:line="240" w:lineRule="auto"/>
              <w:rPr>
                <w:rFonts w:eastAsia="Times New Roman" w:cs="Times New Roman"/>
                <w:color w:val="000000"/>
                <w:vertAlign w:val="superscript"/>
              </w:rPr>
            </w:pPr>
            <w:r w:rsidRPr="00490C04">
              <w:rPr>
                <w:rFonts w:eastAsia="Times New Roman" w:cs="Times New Roman"/>
                <w:b/>
                <w:color w:val="000000"/>
              </w:rPr>
              <w:t>Resource:</w:t>
            </w:r>
            <w:r w:rsidR="00D9584B" w:rsidRPr="00490C04">
              <w:rPr>
                <w:rFonts w:eastAsia="Times New Roman" w:cs="Times New Roman"/>
                <w:color w:val="000000"/>
              </w:rPr>
              <w:t xml:space="preserve"> </w:t>
            </w:r>
            <w:r w:rsidR="00406AB9" w:rsidRPr="00490C04">
              <w:rPr>
                <w:rFonts w:eastAsia="Times New Roman" w:cs="Times New Roman"/>
                <w:color w:val="000000"/>
              </w:rPr>
              <w:t>A</w:t>
            </w:r>
            <w:r w:rsidR="00D9584B" w:rsidRPr="00490C04">
              <w:rPr>
                <w:rFonts w:eastAsia="Times New Roman" w:cs="Times New Roman"/>
                <w:color w:val="000000"/>
              </w:rPr>
              <w:t>nesthesia total hip and knee replacement evidence reviews</w:t>
            </w:r>
            <w:r w:rsidRPr="00490C04">
              <w:rPr>
                <w:rFonts w:eastAsia="Times New Roman" w:cs="Times New Roman"/>
                <w:color w:val="000000"/>
                <w:vertAlign w:val="superscript"/>
              </w:rPr>
              <w:t>3,4</w:t>
            </w:r>
          </w:p>
          <w:p w14:paraId="00EF230C" w14:textId="4E79347F" w:rsidR="00490C04" w:rsidRPr="00B01F5D" w:rsidRDefault="00490C04" w:rsidP="00B01F5D">
            <w:pPr>
              <w:spacing w:after="120" w:line="240" w:lineRule="auto"/>
              <w:rPr>
                <w:rFonts w:eastAsia="Times New Roman" w:cs="Times New Roman"/>
                <w:color w:val="000000"/>
              </w:rPr>
            </w:pPr>
            <w:r w:rsidRPr="00494512">
              <w:rPr>
                <w:b/>
                <w:color w:val="000000"/>
              </w:rPr>
              <w:t>Resource:</w:t>
            </w:r>
            <w:r>
              <w:rPr>
                <w:color w:val="000000"/>
              </w:rPr>
              <w:t xml:space="preserve"> </w:t>
            </w:r>
            <w:r w:rsidR="00406AB9" w:rsidRPr="00494512">
              <w:rPr>
                <w:color w:val="000000"/>
              </w:rPr>
              <w:t>A</w:t>
            </w:r>
            <w:r w:rsidR="00D9584B" w:rsidRPr="00494512">
              <w:rPr>
                <w:color w:val="000000"/>
              </w:rPr>
              <w:t>nesthesia hip fracture evidence review</w:t>
            </w:r>
            <w:r w:rsidRPr="00F746A8">
              <w:rPr>
                <w:color w:val="000000"/>
                <w:vertAlign w:val="superscript"/>
              </w:rPr>
              <w:t>5</w:t>
            </w:r>
          </w:p>
        </w:tc>
        <w:tc>
          <w:tcPr>
            <w:tcW w:w="722" w:type="pct"/>
          </w:tcPr>
          <w:p w14:paraId="71203CE7" w14:textId="77777777" w:rsidR="005956DE" w:rsidRPr="00584831" w:rsidRDefault="00584831" w:rsidP="00AE595D">
            <w:pPr>
              <w:spacing w:after="120" w:line="240" w:lineRule="auto"/>
              <w:rPr>
                <w:rFonts w:eastAsia="Times New Roman" w:cs="Times New Roman"/>
                <w:bCs/>
                <w:color w:val="000000"/>
              </w:rPr>
            </w:pPr>
            <w:r>
              <w:rPr>
                <w:rFonts w:eastAsia="Times New Roman" w:cs="Times New Roman"/>
                <w:bCs/>
                <w:color w:val="000000"/>
              </w:rPr>
              <w:t>R</w:t>
            </w:r>
            <w:r w:rsidRPr="00584831">
              <w:rPr>
                <w:rFonts w:eastAsia="Times New Roman" w:cs="Times New Roman"/>
                <w:bCs/>
                <w:color w:val="000000"/>
              </w:rPr>
              <w:t>egional anesthesia</w:t>
            </w:r>
          </w:p>
          <w:p w14:paraId="7CCD56F0" w14:textId="77777777" w:rsidR="005956DE" w:rsidRPr="00AE595D" w:rsidRDefault="005956DE" w:rsidP="00AE595D">
            <w:pPr>
              <w:spacing w:after="120" w:line="240" w:lineRule="auto"/>
              <w:rPr>
                <w:rFonts w:eastAsia="Times New Roman" w:cs="Times New Roman"/>
                <w:b/>
                <w:bCs/>
                <w:color w:val="000000"/>
              </w:rPr>
            </w:pPr>
          </w:p>
          <w:p w14:paraId="6C8D25A7" w14:textId="77777777" w:rsidR="005956DE" w:rsidRPr="00AE595D" w:rsidRDefault="005956DE" w:rsidP="00AE595D">
            <w:pPr>
              <w:spacing w:after="120" w:line="240" w:lineRule="auto"/>
              <w:rPr>
                <w:rFonts w:eastAsia="Times New Roman" w:cs="Times New Roman"/>
                <w:b/>
                <w:bCs/>
                <w:color w:val="000000"/>
              </w:rPr>
            </w:pPr>
          </w:p>
        </w:tc>
      </w:tr>
    </w:tbl>
    <w:p w14:paraId="0DB28114" w14:textId="140EA15A" w:rsidR="00011880" w:rsidRDefault="00011880" w:rsidP="009C7C23">
      <w:pPr>
        <w:spacing w:after="0" w:line="240" w:lineRule="auto"/>
        <w:ind w:left="187" w:hanging="187"/>
        <w:rPr>
          <w:rFonts w:eastAsia="Times New Roman" w:cstheme="minorHAnsi"/>
          <w:color w:val="000000"/>
        </w:rPr>
      </w:pPr>
      <w:r w:rsidRPr="00AE595D">
        <w:t>Abbreviations:</w:t>
      </w:r>
      <w:r>
        <w:t xml:space="preserve"> ISCR = Improving Surgical Care and Recovery</w:t>
      </w:r>
    </w:p>
    <w:p w14:paraId="31C0E5CF" w14:textId="37DA3F7D" w:rsidR="00B01F5D" w:rsidRPr="00F746A8" w:rsidRDefault="00B01F5D" w:rsidP="009C7C23">
      <w:pPr>
        <w:spacing w:before="120" w:after="120" w:line="240" w:lineRule="auto"/>
        <w:ind w:left="187" w:hanging="187"/>
        <w:rPr>
          <w:rFonts w:eastAsia="Times New Roman" w:cstheme="minorHAnsi"/>
          <w:color w:val="000000"/>
        </w:rPr>
      </w:pPr>
      <w:r w:rsidRPr="00F746A8">
        <w:rPr>
          <w:rFonts w:eastAsia="Times New Roman" w:cstheme="minorHAnsi"/>
          <w:color w:val="000000"/>
        </w:rPr>
        <w:t xml:space="preserve">1 Ban KA, Gibbons MM, Ko CY, </w:t>
      </w:r>
      <w:r w:rsidR="0025268E">
        <w:rPr>
          <w:rFonts w:eastAsia="Times New Roman" w:cstheme="minorHAnsi"/>
          <w:color w:val="000000"/>
        </w:rPr>
        <w:t>et al</w:t>
      </w:r>
      <w:r w:rsidRPr="00F746A8">
        <w:rPr>
          <w:rFonts w:eastAsia="Times New Roman" w:cstheme="minorHAnsi"/>
          <w:color w:val="000000"/>
        </w:rPr>
        <w:t xml:space="preserve">. Evidence Review Conducted for the Agency for Healthcare Research and Quality Safety Program for Improving Surgical Care and Recovery: Focus on Anesthesiology for Colorectal Surgery. </w:t>
      </w:r>
      <w:proofErr w:type="spellStart"/>
      <w:r w:rsidRPr="00F746A8">
        <w:rPr>
          <w:rFonts w:eastAsia="Times New Roman" w:cstheme="minorHAnsi"/>
          <w:color w:val="000000"/>
        </w:rPr>
        <w:t>Anesth</w:t>
      </w:r>
      <w:proofErr w:type="spellEnd"/>
      <w:r w:rsidRPr="00F746A8">
        <w:rPr>
          <w:rFonts w:eastAsia="Times New Roman" w:cstheme="minorHAnsi"/>
          <w:color w:val="000000"/>
        </w:rPr>
        <w:t xml:space="preserve"> </w:t>
      </w:r>
      <w:proofErr w:type="spellStart"/>
      <w:r w:rsidRPr="00F746A8">
        <w:rPr>
          <w:rFonts w:eastAsia="Times New Roman" w:cstheme="minorHAnsi"/>
          <w:color w:val="000000"/>
        </w:rPr>
        <w:t>Analg</w:t>
      </w:r>
      <w:proofErr w:type="spellEnd"/>
      <w:r w:rsidRPr="00F746A8">
        <w:rPr>
          <w:rFonts w:eastAsia="Times New Roman" w:cstheme="minorHAnsi"/>
          <w:color w:val="000000"/>
        </w:rPr>
        <w:t xml:space="preserve">. 2019 May;128(5):879-89. </w:t>
      </w:r>
      <w:proofErr w:type="spellStart"/>
      <w:r w:rsidRPr="00F746A8">
        <w:rPr>
          <w:rFonts w:eastAsia="Times New Roman" w:cstheme="minorHAnsi"/>
          <w:color w:val="000000"/>
        </w:rPr>
        <w:t>doi</w:t>
      </w:r>
      <w:proofErr w:type="spellEnd"/>
      <w:r w:rsidRPr="00F746A8">
        <w:rPr>
          <w:rFonts w:eastAsia="Times New Roman" w:cstheme="minorHAnsi"/>
          <w:color w:val="000000"/>
        </w:rPr>
        <w:t xml:space="preserve">: 10.1213/ANE.0000000000003366. PMID: 29649026. </w:t>
      </w:r>
    </w:p>
    <w:p w14:paraId="503D0FD0" w14:textId="2AFA1ECF" w:rsidR="00B01F5D" w:rsidRPr="00F746A8" w:rsidRDefault="00B01F5D" w:rsidP="00D033DE">
      <w:pPr>
        <w:spacing w:after="120" w:line="240" w:lineRule="auto"/>
        <w:ind w:left="180" w:hanging="180"/>
        <w:rPr>
          <w:rFonts w:eastAsia="Times New Roman" w:cstheme="minorHAnsi"/>
          <w:color w:val="000000"/>
        </w:rPr>
      </w:pPr>
      <w:r w:rsidRPr="00F746A8">
        <w:rPr>
          <w:rFonts w:eastAsia="Times New Roman" w:cstheme="minorHAnsi"/>
          <w:color w:val="000000"/>
        </w:rPr>
        <w:lastRenderedPageBreak/>
        <w:t xml:space="preserve">2 Grant MC, Gibbons MM, Ko CY, </w:t>
      </w:r>
      <w:r w:rsidR="0025268E">
        <w:rPr>
          <w:rFonts w:eastAsia="Times New Roman" w:cstheme="minorHAnsi"/>
          <w:color w:val="000000"/>
        </w:rPr>
        <w:t>et al</w:t>
      </w:r>
      <w:r w:rsidRPr="00F746A8">
        <w:rPr>
          <w:rFonts w:eastAsia="Times New Roman" w:cstheme="minorHAnsi"/>
          <w:color w:val="000000"/>
        </w:rPr>
        <w:t xml:space="preserve">. Evidence review conducted for the AHRQ Safety Program for Improving Surgical Care and Recovery: focus on anesthesiology for gynecologic surgery. Reg </w:t>
      </w:r>
      <w:proofErr w:type="spellStart"/>
      <w:r w:rsidRPr="00F746A8">
        <w:rPr>
          <w:rFonts w:eastAsia="Times New Roman" w:cstheme="minorHAnsi"/>
          <w:color w:val="000000"/>
        </w:rPr>
        <w:t>Anesth</w:t>
      </w:r>
      <w:proofErr w:type="spellEnd"/>
      <w:r w:rsidRPr="00F746A8">
        <w:rPr>
          <w:rFonts w:eastAsia="Times New Roman" w:cstheme="minorHAnsi"/>
          <w:color w:val="000000"/>
        </w:rPr>
        <w:t xml:space="preserve"> Pain Med. 2019 Feb 7:rapm-2018-100071. </w:t>
      </w:r>
      <w:proofErr w:type="spellStart"/>
      <w:r w:rsidRPr="00F746A8">
        <w:rPr>
          <w:rFonts w:eastAsia="Times New Roman" w:cstheme="minorHAnsi"/>
          <w:color w:val="000000"/>
        </w:rPr>
        <w:t>doi</w:t>
      </w:r>
      <w:proofErr w:type="spellEnd"/>
      <w:r w:rsidRPr="00F746A8">
        <w:rPr>
          <w:rFonts w:eastAsia="Times New Roman" w:cstheme="minorHAnsi"/>
          <w:color w:val="000000"/>
        </w:rPr>
        <w:t xml:space="preserve">: 10.1136/rapm-2018-100071. </w:t>
      </w:r>
      <w:proofErr w:type="spellStart"/>
      <w:r w:rsidRPr="00F746A8">
        <w:rPr>
          <w:rFonts w:eastAsia="Times New Roman" w:cstheme="minorHAnsi"/>
          <w:color w:val="000000"/>
        </w:rPr>
        <w:t>Epub</w:t>
      </w:r>
      <w:proofErr w:type="spellEnd"/>
      <w:r w:rsidRPr="00F746A8">
        <w:rPr>
          <w:rFonts w:eastAsia="Times New Roman" w:cstheme="minorHAnsi"/>
          <w:color w:val="000000"/>
        </w:rPr>
        <w:t xml:space="preserve"> ahead of print. PMID: 30737316. </w:t>
      </w:r>
    </w:p>
    <w:p w14:paraId="519481B1" w14:textId="4AC2660B" w:rsidR="00494512" w:rsidRPr="00F746A8" w:rsidRDefault="00B01F5D" w:rsidP="00D033DE">
      <w:pPr>
        <w:spacing w:after="120" w:line="240" w:lineRule="auto"/>
        <w:ind w:left="180" w:hanging="180"/>
        <w:rPr>
          <w:rFonts w:eastAsia="Times New Roman" w:cstheme="minorHAnsi"/>
          <w:color w:val="000000"/>
        </w:rPr>
      </w:pPr>
      <w:r w:rsidRPr="00F746A8">
        <w:rPr>
          <w:rFonts w:eastAsia="Times New Roman" w:cstheme="minorHAnsi"/>
          <w:color w:val="000000"/>
        </w:rPr>
        <w:t xml:space="preserve">3 </w:t>
      </w:r>
      <w:proofErr w:type="spellStart"/>
      <w:r w:rsidRPr="00F746A8">
        <w:rPr>
          <w:rFonts w:eastAsia="Times New Roman" w:cstheme="minorHAnsi"/>
          <w:color w:val="000000"/>
        </w:rPr>
        <w:t>Soffin</w:t>
      </w:r>
      <w:proofErr w:type="spellEnd"/>
      <w:r w:rsidRPr="00F746A8">
        <w:rPr>
          <w:rFonts w:eastAsia="Times New Roman" w:cstheme="minorHAnsi"/>
          <w:color w:val="000000"/>
        </w:rPr>
        <w:t xml:space="preserve"> EM, Gibbons MM, Ko CY, </w:t>
      </w:r>
      <w:r w:rsidR="0025268E">
        <w:rPr>
          <w:rFonts w:eastAsia="Times New Roman" w:cstheme="minorHAnsi"/>
          <w:color w:val="000000"/>
        </w:rPr>
        <w:t>et al.</w:t>
      </w:r>
      <w:r w:rsidRPr="00F746A8">
        <w:rPr>
          <w:rFonts w:eastAsia="Times New Roman" w:cstheme="minorHAnsi"/>
          <w:color w:val="000000"/>
        </w:rPr>
        <w:t xml:space="preserve"> Evidence Review Conducted for the Agency for Healthcare Research and Quality Safety Program for Improving Surgical Care and Recovery: Focus on Anesthesiology for Total Knee Arthroplasty. </w:t>
      </w:r>
      <w:proofErr w:type="spellStart"/>
      <w:r w:rsidRPr="00F746A8">
        <w:rPr>
          <w:rFonts w:eastAsia="Times New Roman" w:cstheme="minorHAnsi"/>
          <w:color w:val="000000"/>
        </w:rPr>
        <w:t>Anesth</w:t>
      </w:r>
      <w:proofErr w:type="spellEnd"/>
      <w:r w:rsidRPr="00F746A8">
        <w:rPr>
          <w:rFonts w:eastAsia="Times New Roman" w:cstheme="minorHAnsi"/>
          <w:color w:val="000000"/>
        </w:rPr>
        <w:t xml:space="preserve"> </w:t>
      </w:r>
      <w:proofErr w:type="spellStart"/>
      <w:r w:rsidRPr="00F746A8">
        <w:rPr>
          <w:rFonts w:eastAsia="Times New Roman" w:cstheme="minorHAnsi"/>
          <w:color w:val="000000"/>
        </w:rPr>
        <w:t>Analg</w:t>
      </w:r>
      <w:proofErr w:type="spellEnd"/>
      <w:r w:rsidRPr="00F746A8">
        <w:rPr>
          <w:rFonts w:eastAsia="Times New Roman" w:cstheme="minorHAnsi"/>
          <w:color w:val="000000"/>
        </w:rPr>
        <w:t xml:space="preserve">. 2019 Mar;128(3):441-53. </w:t>
      </w:r>
      <w:proofErr w:type="spellStart"/>
      <w:r w:rsidRPr="00F746A8">
        <w:rPr>
          <w:rFonts w:eastAsia="Times New Roman" w:cstheme="minorHAnsi"/>
          <w:color w:val="000000"/>
        </w:rPr>
        <w:t>doi</w:t>
      </w:r>
      <w:proofErr w:type="spellEnd"/>
      <w:r w:rsidRPr="00F746A8">
        <w:rPr>
          <w:rFonts w:eastAsia="Times New Roman" w:cstheme="minorHAnsi"/>
          <w:color w:val="000000"/>
        </w:rPr>
        <w:t xml:space="preserve">: 10.1213/ANE.0000000000003564. PMID: 29889710. </w:t>
      </w:r>
    </w:p>
    <w:p w14:paraId="4940490E" w14:textId="1ED1805A" w:rsidR="00494512" w:rsidRPr="00F746A8" w:rsidRDefault="00494512" w:rsidP="00D033DE">
      <w:pPr>
        <w:spacing w:after="120" w:line="240" w:lineRule="auto"/>
        <w:ind w:left="180" w:hanging="180"/>
        <w:rPr>
          <w:rFonts w:eastAsia="Times New Roman" w:cstheme="minorHAnsi"/>
          <w:color w:val="000000"/>
        </w:rPr>
      </w:pPr>
      <w:r w:rsidRPr="00F746A8">
        <w:rPr>
          <w:rFonts w:eastAsia="Times New Roman" w:cstheme="minorHAnsi"/>
          <w:color w:val="000000"/>
        </w:rPr>
        <w:t xml:space="preserve">4 </w:t>
      </w:r>
      <w:proofErr w:type="spellStart"/>
      <w:r w:rsidRPr="00F746A8">
        <w:rPr>
          <w:rFonts w:eastAsia="Times New Roman" w:cstheme="minorHAnsi"/>
          <w:color w:val="000000"/>
        </w:rPr>
        <w:t>Soffin</w:t>
      </w:r>
      <w:proofErr w:type="spellEnd"/>
      <w:r w:rsidRPr="00F746A8">
        <w:rPr>
          <w:rFonts w:eastAsia="Times New Roman" w:cstheme="minorHAnsi"/>
          <w:color w:val="000000"/>
        </w:rPr>
        <w:t xml:space="preserve"> EM, Gibbons MM, Ko CY, </w:t>
      </w:r>
      <w:r w:rsidR="0025268E">
        <w:rPr>
          <w:rFonts w:eastAsia="Times New Roman" w:cstheme="minorHAnsi"/>
          <w:color w:val="000000"/>
        </w:rPr>
        <w:t>et al</w:t>
      </w:r>
      <w:r w:rsidRPr="00F746A8">
        <w:rPr>
          <w:rFonts w:eastAsia="Times New Roman" w:cstheme="minorHAnsi"/>
          <w:color w:val="000000"/>
        </w:rPr>
        <w:t xml:space="preserve">. Evidence Review Conducted for the Agency for Healthcare Research and Quality Safety Program for Improving Surgical Care and Recovery: Focus on Anesthesiology for Total Hip Arthroplasty. </w:t>
      </w:r>
      <w:proofErr w:type="spellStart"/>
      <w:r w:rsidRPr="00F746A8">
        <w:rPr>
          <w:rFonts w:eastAsia="Times New Roman" w:cstheme="minorHAnsi"/>
          <w:color w:val="000000"/>
        </w:rPr>
        <w:t>Anesth</w:t>
      </w:r>
      <w:proofErr w:type="spellEnd"/>
      <w:r w:rsidRPr="00F746A8">
        <w:rPr>
          <w:rFonts w:eastAsia="Times New Roman" w:cstheme="minorHAnsi"/>
          <w:color w:val="000000"/>
        </w:rPr>
        <w:t xml:space="preserve"> </w:t>
      </w:r>
      <w:proofErr w:type="spellStart"/>
      <w:r w:rsidRPr="00F746A8">
        <w:rPr>
          <w:rFonts w:eastAsia="Times New Roman" w:cstheme="minorHAnsi"/>
          <w:color w:val="000000"/>
        </w:rPr>
        <w:t>Analg</w:t>
      </w:r>
      <w:proofErr w:type="spellEnd"/>
      <w:r w:rsidRPr="00F746A8">
        <w:rPr>
          <w:rFonts w:eastAsia="Times New Roman" w:cstheme="minorHAnsi"/>
          <w:color w:val="000000"/>
        </w:rPr>
        <w:t xml:space="preserve">. 2019 Mar;128(3):454-65. </w:t>
      </w:r>
      <w:proofErr w:type="spellStart"/>
      <w:r w:rsidRPr="00F746A8">
        <w:rPr>
          <w:rFonts w:eastAsia="Times New Roman" w:cstheme="minorHAnsi"/>
          <w:color w:val="000000"/>
        </w:rPr>
        <w:t>doi</w:t>
      </w:r>
      <w:proofErr w:type="spellEnd"/>
      <w:r w:rsidRPr="00F746A8">
        <w:rPr>
          <w:rFonts w:eastAsia="Times New Roman" w:cstheme="minorHAnsi"/>
          <w:color w:val="000000"/>
        </w:rPr>
        <w:t>: 10.1213/ANE.0000000000003663. PMID: 30044289.</w:t>
      </w:r>
    </w:p>
    <w:p w14:paraId="423F6B30" w14:textId="7E603694" w:rsidR="00F838E2" w:rsidRDefault="00494512" w:rsidP="00D033DE">
      <w:pPr>
        <w:spacing w:after="120" w:line="240" w:lineRule="auto"/>
        <w:ind w:left="180" w:hanging="180"/>
        <w:rPr>
          <w:rFonts w:eastAsia="Times New Roman" w:cstheme="minorHAnsi"/>
          <w:color w:val="000000"/>
        </w:rPr>
      </w:pPr>
      <w:r w:rsidRPr="00F746A8">
        <w:rPr>
          <w:rFonts w:eastAsia="Times New Roman" w:cstheme="minorHAnsi"/>
          <w:color w:val="000000"/>
        </w:rPr>
        <w:t xml:space="preserve">5 </w:t>
      </w:r>
      <w:proofErr w:type="spellStart"/>
      <w:r w:rsidRPr="00F746A8">
        <w:rPr>
          <w:rFonts w:eastAsia="Times New Roman" w:cstheme="minorHAnsi"/>
          <w:color w:val="000000"/>
        </w:rPr>
        <w:t>Soffin</w:t>
      </w:r>
      <w:proofErr w:type="spellEnd"/>
      <w:r w:rsidRPr="00F746A8">
        <w:rPr>
          <w:rFonts w:eastAsia="Times New Roman" w:cstheme="minorHAnsi"/>
          <w:color w:val="000000"/>
        </w:rPr>
        <w:t xml:space="preserve"> EM, Gibbons MM, Wick EC, </w:t>
      </w:r>
      <w:r w:rsidR="0025268E">
        <w:rPr>
          <w:rFonts w:eastAsia="Times New Roman" w:cstheme="minorHAnsi"/>
          <w:color w:val="000000"/>
        </w:rPr>
        <w:t>et al</w:t>
      </w:r>
      <w:r w:rsidRPr="00F746A8">
        <w:rPr>
          <w:rFonts w:eastAsia="Times New Roman" w:cstheme="minorHAnsi"/>
          <w:color w:val="000000"/>
        </w:rPr>
        <w:t xml:space="preserve">. Evidence Review Conducted for the Agency for Healthcare Research and Quality Safety Program for Improving Surgical Care and Recovery: Focus on Anesthesiology for Hip Fracture Surgery. </w:t>
      </w:r>
      <w:proofErr w:type="spellStart"/>
      <w:r w:rsidRPr="00F746A8">
        <w:rPr>
          <w:rFonts w:eastAsia="Times New Roman" w:cstheme="minorHAnsi"/>
          <w:color w:val="000000"/>
        </w:rPr>
        <w:t>Anesth</w:t>
      </w:r>
      <w:proofErr w:type="spellEnd"/>
      <w:r w:rsidRPr="00F746A8">
        <w:rPr>
          <w:rFonts w:eastAsia="Times New Roman" w:cstheme="minorHAnsi"/>
          <w:color w:val="000000"/>
        </w:rPr>
        <w:t xml:space="preserve"> </w:t>
      </w:r>
      <w:proofErr w:type="spellStart"/>
      <w:r w:rsidRPr="00F746A8">
        <w:rPr>
          <w:rFonts w:eastAsia="Times New Roman" w:cstheme="minorHAnsi"/>
          <w:color w:val="000000"/>
        </w:rPr>
        <w:t>Analg</w:t>
      </w:r>
      <w:proofErr w:type="spellEnd"/>
      <w:r w:rsidRPr="00F746A8">
        <w:rPr>
          <w:rFonts w:eastAsia="Times New Roman" w:cstheme="minorHAnsi"/>
          <w:color w:val="000000"/>
        </w:rPr>
        <w:t xml:space="preserve">. 2019 Jun;128(6):1107-1117. </w:t>
      </w:r>
      <w:proofErr w:type="spellStart"/>
      <w:r w:rsidRPr="00F746A8">
        <w:rPr>
          <w:rFonts w:eastAsia="Times New Roman" w:cstheme="minorHAnsi"/>
          <w:color w:val="000000"/>
        </w:rPr>
        <w:t>doi</w:t>
      </w:r>
      <w:proofErr w:type="spellEnd"/>
      <w:r w:rsidRPr="00F746A8">
        <w:rPr>
          <w:rFonts w:eastAsia="Times New Roman" w:cstheme="minorHAnsi"/>
          <w:color w:val="000000"/>
        </w:rPr>
        <w:t>: 10.1213/ANE.0000000000003925. PMID: 31094775.</w:t>
      </w:r>
    </w:p>
    <w:p w14:paraId="15FFE6C2" w14:textId="77777777" w:rsidR="006A1585" w:rsidRPr="00AE595D" w:rsidRDefault="006A1585" w:rsidP="00AE595D">
      <w:pPr>
        <w:spacing w:after="120" w:line="240" w:lineRule="auto"/>
        <w:rPr>
          <w:b/>
        </w:rPr>
      </w:pPr>
    </w:p>
    <w:p w14:paraId="15445D8C" w14:textId="77777777" w:rsidR="00F746A8" w:rsidRDefault="00F746A8">
      <w:pPr>
        <w:spacing w:after="160" w:line="259" w:lineRule="auto"/>
        <w:ind w:left="360" w:hanging="360"/>
        <w:rPr>
          <w:b/>
          <w:bCs/>
          <w:sz w:val="28"/>
          <w:szCs w:val="28"/>
        </w:rPr>
      </w:pPr>
      <w:r>
        <w:br w:type="page"/>
      </w:r>
    </w:p>
    <w:p w14:paraId="7AC578C1" w14:textId="77777777" w:rsidR="006A1585" w:rsidRDefault="006A1585">
      <w:pPr>
        <w:pStyle w:val="Heading2"/>
      </w:pPr>
      <w:bookmarkStart w:id="25" w:name="_Toc117000806"/>
      <w:r w:rsidRPr="00AE595D">
        <w:lastRenderedPageBreak/>
        <w:t>Intraoperative</w:t>
      </w:r>
      <w:r w:rsidR="005F5B68">
        <w:t xml:space="preserve"> Tranexamic Acid</w:t>
      </w:r>
      <w:bookmarkEnd w:id="25"/>
    </w:p>
    <w:p w14:paraId="04B68D76" w14:textId="353B7394" w:rsidR="006C2D73" w:rsidRDefault="0094023A" w:rsidP="006C2D73">
      <w:pPr>
        <w:pStyle w:val="BodyText1"/>
      </w:pPr>
      <w:r>
        <w:t>T</w:t>
      </w:r>
      <w:r w:rsidRPr="006C2D73">
        <w:t xml:space="preserve">o minimize intra- and postoperative blood loss and transfusion in </w:t>
      </w:r>
      <w:r w:rsidR="00FD2CFF">
        <w:t>hip and knee</w:t>
      </w:r>
      <w:r w:rsidRPr="006C2D73">
        <w:t xml:space="preserve"> replacement procedures</w:t>
      </w:r>
      <w:r>
        <w:t>, t</w:t>
      </w:r>
      <w:r w:rsidR="006C2D73" w:rsidRPr="006C2D73">
        <w:t xml:space="preserve">ranexamic acid </w:t>
      </w:r>
      <w:r w:rsidR="006C2D73">
        <w:t xml:space="preserve">(TXA) </w:t>
      </w:r>
      <w:r w:rsidR="006C2D73" w:rsidRPr="006C2D73">
        <w:t xml:space="preserve">is an antifibrinolytic drug that should be considered in patients without contraindications. However, the optimal dose, timing, and route of </w:t>
      </w:r>
      <w:r>
        <w:t xml:space="preserve">its </w:t>
      </w:r>
      <w:r w:rsidR="006C2D73" w:rsidRPr="006C2D73">
        <w:t>administration are currently undefined.</w:t>
      </w:r>
    </w:p>
    <w:p w14:paraId="6A5D9964" w14:textId="44CDCC48" w:rsidR="006C2D73" w:rsidRPr="00EC3092" w:rsidRDefault="006C2D73" w:rsidP="00EC3092">
      <w:pPr>
        <w:pStyle w:val="Bullet1"/>
        <w:rPr>
          <w:i/>
          <w:u w:val="single"/>
        </w:rPr>
      </w:pPr>
      <w:r w:rsidRPr="006C2D73">
        <w:rPr>
          <w:i/>
        </w:rPr>
        <w:t>A note about hip fracture procedures</w:t>
      </w:r>
      <w:r>
        <w:t>:</w:t>
      </w:r>
      <w:r w:rsidRPr="006C2D73">
        <w:t xml:space="preserve"> Available studies in hip fracture surgery are limited and there is insufficient data to determine if </w:t>
      </w:r>
      <w:r w:rsidR="001642F2">
        <w:t>TXA</w:t>
      </w:r>
      <w:r w:rsidRPr="006C2D73">
        <w:t xml:space="preserve"> will promote a hypercoagulable state.</w:t>
      </w:r>
    </w:p>
    <w:tbl>
      <w:tblPr>
        <w:tblStyle w:val="GridTable1Light1"/>
        <w:tblW w:w="5000" w:type="pct"/>
        <w:tblLook w:val="0600" w:firstRow="0" w:lastRow="0" w:firstColumn="0" w:lastColumn="0" w:noHBand="1" w:noVBand="1"/>
      </w:tblPr>
      <w:tblGrid>
        <w:gridCol w:w="1880"/>
        <w:gridCol w:w="1893"/>
        <w:gridCol w:w="8374"/>
        <w:gridCol w:w="3689"/>
        <w:gridCol w:w="3431"/>
        <w:gridCol w:w="3763"/>
      </w:tblGrid>
      <w:tr w:rsidR="004B3D41" w:rsidRPr="006C2D73" w14:paraId="5D1253B3" w14:textId="77777777" w:rsidTr="00877C2A">
        <w:trPr>
          <w:cantSplit/>
          <w:trHeight w:val="973"/>
          <w:tblHeader/>
        </w:trPr>
        <w:tc>
          <w:tcPr>
            <w:tcW w:w="408" w:type="pct"/>
            <w:hideMark/>
          </w:tcPr>
          <w:p w14:paraId="23D29401" w14:textId="75F82478" w:rsidR="004B3D41" w:rsidRPr="006C2D73" w:rsidRDefault="004B3D41" w:rsidP="006C2D73">
            <w:pPr>
              <w:pStyle w:val="TableParagraph"/>
              <w:rPr>
                <w:rStyle w:val="Strong"/>
              </w:rPr>
            </w:pPr>
            <w:r w:rsidRPr="006C2D73">
              <w:rPr>
                <w:rStyle w:val="Strong"/>
              </w:rPr>
              <w:t xml:space="preserve">Pathway </w:t>
            </w:r>
          </w:p>
        </w:tc>
        <w:tc>
          <w:tcPr>
            <w:tcW w:w="411" w:type="pct"/>
            <w:hideMark/>
          </w:tcPr>
          <w:p w14:paraId="6084BBCF" w14:textId="77777777" w:rsidR="004B3D41" w:rsidRPr="006C2D73" w:rsidRDefault="004B3D41" w:rsidP="006C2D73">
            <w:pPr>
              <w:pStyle w:val="TableParagraph"/>
              <w:rPr>
                <w:rStyle w:val="Strong"/>
              </w:rPr>
            </w:pPr>
            <w:r w:rsidRPr="006C2D73">
              <w:rPr>
                <w:rStyle w:val="Strong"/>
              </w:rPr>
              <w:t>Component</w:t>
            </w:r>
          </w:p>
        </w:tc>
        <w:tc>
          <w:tcPr>
            <w:tcW w:w="1818" w:type="pct"/>
            <w:hideMark/>
          </w:tcPr>
          <w:p w14:paraId="5F25DF0C" w14:textId="2622C5FE" w:rsidR="00494512" w:rsidRDefault="004B3D41" w:rsidP="006C2D73">
            <w:pPr>
              <w:pStyle w:val="TableParagraph"/>
              <w:rPr>
                <w:rStyle w:val="Strong"/>
              </w:rPr>
            </w:pPr>
            <w:r w:rsidRPr="006C2D73">
              <w:rPr>
                <w:rStyle w:val="Strong"/>
              </w:rPr>
              <w:t xml:space="preserve">Example Processes </w:t>
            </w:r>
            <w:r w:rsidR="001642F2">
              <w:rPr>
                <w:rStyle w:val="Strong"/>
              </w:rPr>
              <w:t>T</w:t>
            </w:r>
            <w:r w:rsidRPr="006C2D73">
              <w:rPr>
                <w:rStyle w:val="Strong"/>
              </w:rPr>
              <w:t>o Consider</w:t>
            </w:r>
          </w:p>
          <w:p w14:paraId="4AEAA9F3" w14:textId="77777777" w:rsidR="004B3D41" w:rsidRPr="00494512" w:rsidRDefault="004B3D41" w:rsidP="006C2D73">
            <w:pPr>
              <w:pStyle w:val="TableParagraph"/>
              <w:rPr>
                <w:rStyle w:val="Strong"/>
                <w:b w:val="0"/>
                <w:i/>
              </w:rPr>
            </w:pPr>
            <w:r w:rsidRPr="00494512">
              <w:rPr>
                <w:rStyle w:val="Strong"/>
                <w:b w:val="0"/>
                <w:i/>
              </w:rPr>
              <w:t>As a team, go through each component and discuss what approach best fits your hospital. It may be an option other than what is listed below.</w:t>
            </w:r>
          </w:p>
        </w:tc>
        <w:tc>
          <w:tcPr>
            <w:tcW w:w="801" w:type="pct"/>
            <w:hideMark/>
          </w:tcPr>
          <w:p w14:paraId="278699E8" w14:textId="77777777" w:rsidR="004B3D41" w:rsidRPr="006C2D73" w:rsidRDefault="004B3D41" w:rsidP="006C2D73">
            <w:pPr>
              <w:pStyle w:val="TableParagraph"/>
              <w:rPr>
                <w:rStyle w:val="Strong"/>
              </w:rPr>
            </w:pPr>
            <w:r w:rsidRPr="006C2D73">
              <w:rPr>
                <w:rStyle w:val="Strong"/>
              </w:rPr>
              <w:t>Team Decisions/Notes</w:t>
            </w:r>
          </w:p>
          <w:p w14:paraId="71CB2FD2" w14:textId="77777777" w:rsidR="004B3D41" w:rsidRPr="00494512" w:rsidRDefault="004B3D41" w:rsidP="006C2D73">
            <w:pPr>
              <w:pStyle w:val="TableParagraph"/>
              <w:rPr>
                <w:rStyle w:val="Strong"/>
                <w:b w:val="0"/>
                <w:i/>
              </w:rPr>
            </w:pPr>
            <w:r w:rsidRPr="00494512">
              <w:rPr>
                <w:rStyle w:val="Strong"/>
                <w:b w:val="0"/>
                <w:i/>
              </w:rPr>
              <w:t>As a team, note exceptions and contraindications to the treatment or medications.</w:t>
            </w:r>
          </w:p>
        </w:tc>
        <w:tc>
          <w:tcPr>
            <w:tcW w:w="745" w:type="pct"/>
            <w:hideMark/>
          </w:tcPr>
          <w:p w14:paraId="1AF683A0" w14:textId="1F1EA658" w:rsidR="004B3D41" w:rsidRPr="006C2D73" w:rsidRDefault="00AA140E" w:rsidP="006C2D73">
            <w:pPr>
              <w:pStyle w:val="TableParagraph"/>
              <w:rPr>
                <w:rStyle w:val="Strong"/>
              </w:rPr>
            </w:pPr>
            <w:r>
              <w:rPr>
                <w:rStyle w:val="Strong"/>
              </w:rPr>
              <w:t xml:space="preserve">Other Available Resources </w:t>
            </w:r>
            <w:r w:rsidR="001642F2">
              <w:rPr>
                <w:rStyle w:val="Strong"/>
              </w:rPr>
              <w:t>and</w:t>
            </w:r>
            <w:r>
              <w:rPr>
                <w:rStyle w:val="Strong"/>
              </w:rPr>
              <w:t xml:space="preserve"> Tips </w:t>
            </w:r>
            <w:r w:rsidR="001642F2">
              <w:rPr>
                <w:rStyle w:val="Strong"/>
              </w:rPr>
              <w:t>T</w:t>
            </w:r>
            <w:r>
              <w:rPr>
                <w:rStyle w:val="Strong"/>
              </w:rPr>
              <w:t>o Consider</w:t>
            </w:r>
          </w:p>
        </w:tc>
        <w:tc>
          <w:tcPr>
            <w:tcW w:w="817" w:type="pct"/>
            <w:hideMark/>
          </w:tcPr>
          <w:p w14:paraId="7E24602C" w14:textId="77777777" w:rsidR="009F40B9" w:rsidRPr="009F40B9" w:rsidRDefault="009F40B9" w:rsidP="009F40B9">
            <w:pPr>
              <w:pStyle w:val="TableParagraph"/>
              <w:rPr>
                <w:rStyle w:val="Strong"/>
              </w:rPr>
            </w:pPr>
            <w:r w:rsidRPr="009F40B9">
              <w:rPr>
                <w:rStyle w:val="Strong"/>
              </w:rPr>
              <w:t>ISCR Measures</w:t>
            </w:r>
          </w:p>
          <w:p w14:paraId="548A6A06" w14:textId="77777777" w:rsidR="004B3D41" w:rsidRPr="006C2D73"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853357" w:rsidRPr="00AE595D" w14:paraId="629B59DB" w14:textId="77777777" w:rsidTr="00877C2A">
        <w:trPr>
          <w:cantSplit/>
          <w:trHeight w:val="1171"/>
        </w:trPr>
        <w:tc>
          <w:tcPr>
            <w:tcW w:w="408" w:type="pct"/>
            <w:hideMark/>
          </w:tcPr>
          <w:p w14:paraId="2321ECF8" w14:textId="3B002EE9" w:rsidR="00853357" w:rsidRPr="00494512" w:rsidRDefault="00777938" w:rsidP="006C2D73">
            <w:pPr>
              <w:pStyle w:val="TableParagraph"/>
              <w:rPr>
                <w:b/>
              </w:rPr>
            </w:pPr>
            <w:r>
              <w:rPr>
                <w:b/>
              </w:rPr>
              <w:t>Hip and Knee</w:t>
            </w:r>
            <w:r w:rsidR="00853357" w:rsidRPr="00494512">
              <w:rPr>
                <w:b/>
              </w:rPr>
              <w:t xml:space="preserve"> Replacement</w:t>
            </w:r>
            <w:r w:rsidR="00796707" w:rsidRPr="00494512">
              <w:rPr>
                <w:b/>
              </w:rPr>
              <w:t xml:space="preserve"> and Hip Fracture</w:t>
            </w:r>
            <w:r w:rsidR="00853357" w:rsidRPr="00494512">
              <w:rPr>
                <w:b/>
              </w:rPr>
              <w:t xml:space="preserve"> </w:t>
            </w:r>
            <w:r w:rsidR="005F5B68" w:rsidRPr="00494512">
              <w:rPr>
                <w:b/>
              </w:rPr>
              <w:t>Surgery</w:t>
            </w:r>
          </w:p>
        </w:tc>
        <w:tc>
          <w:tcPr>
            <w:tcW w:w="411" w:type="pct"/>
          </w:tcPr>
          <w:p w14:paraId="678CB1FE" w14:textId="0ECDE0AC" w:rsidR="00853357" w:rsidRPr="00494512" w:rsidRDefault="002A0AF8" w:rsidP="006C2D73">
            <w:pPr>
              <w:pStyle w:val="TableParagraph"/>
              <w:rPr>
                <w:b/>
              </w:rPr>
            </w:pPr>
            <w:r>
              <w:rPr>
                <w:b/>
              </w:rPr>
              <w:t>TXA</w:t>
            </w:r>
          </w:p>
        </w:tc>
        <w:tc>
          <w:tcPr>
            <w:tcW w:w="1818" w:type="pct"/>
          </w:tcPr>
          <w:p w14:paraId="1B955D8E" w14:textId="77777777" w:rsidR="00853357" w:rsidRPr="00494512" w:rsidRDefault="00853357" w:rsidP="00494512">
            <w:pPr>
              <w:pStyle w:val="TableParagraph"/>
              <w:spacing w:after="120" w:line="240" w:lineRule="auto"/>
              <w:rPr>
                <w:b/>
                <w:color w:val="000000"/>
              </w:rPr>
            </w:pPr>
            <w:r w:rsidRPr="00494512">
              <w:rPr>
                <w:b/>
                <w:color w:val="000000"/>
              </w:rPr>
              <w:t xml:space="preserve">Recommended approach: </w:t>
            </w:r>
          </w:p>
          <w:p w14:paraId="4C32C2DD" w14:textId="57081DD0" w:rsidR="00853357" w:rsidRPr="00AE595D" w:rsidRDefault="00C77D78" w:rsidP="006C2D73">
            <w:pPr>
              <w:pStyle w:val="Bullet1"/>
            </w:pPr>
            <w:r w:rsidRPr="00AE595D">
              <w:t xml:space="preserve">Consider for </w:t>
            </w:r>
            <w:r w:rsidR="006E7A7F">
              <w:t>intra</w:t>
            </w:r>
            <w:r w:rsidR="00777938">
              <w:t xml:space="preserve">operative use </w:t>
            </w:r>
            <w:r w:rsidR="00777938" w:rsidRPr="00AE595D">
              <w:t>on an individual basis</w:t>
            </w:r>
            <w:r w:rsidR="00777938">
              <w:t xml:space="preserve"> in </w:t>
            </w:r>
            <w:r w:rsidR="00777938" w:rsidRPr="00AE595D">
              <w:t>patients</w:t>
            </w:r>
            <w:r w:rsidR="00777938">
              <w:t xml:space="preserve"> at </w:t>
            </w:r>
            <w:r w:rsidR="00777938" w:rsidRPr="00AE595D">
              <w:t>high bleeding risk</w:t>
            </w:r>
            <w:r w:rsidR="00777938">
              <w:t xml:space="preserve">, or for </w:t>
            </w:r>
            <w:r w:rsidRPr="00AE595D">
              <w:t>intraoperative bleeding</w:t>
            </w:r>
            <w:r w:rsidR="00777938">
              <w:t xml:space="preserve">. </w:t>
            </w:r>
            <w:r w:rsidRPr="00AE595D">
              <w:t xml:space="preserve"> </w:t>
            </w:r>
          </w:p>
        </w:tc>
        <w:tc>
          <w:tcPr>
            <w:tcW w:w="801" w:type="pct"/>
          </w:tcPr>
          <w:p w14:paraId="526A6D8E" w14:textId="1BBC03DF" w:rsidR="00853357" w:rsidRPr="00AE595D" w:rsidRDefault="00001AAC" w:rsidP="006C2D73">
            <w:pPr>
              <w:pStyle w:val="TableParagraph"/>
              <w:rPr>
                <w:color w:val="000000"/>
              </w:rPr>
            </w:pPr>
            <w:r w:rsidRPr="007C7841">
              <w:rPr>
                <w:rFonts w:eastAsia="Times New Roman" w:cs="Times New Roman"/>
                <w:i/>
                <w:color w:val="000000"/>
              </w:rPr>
              <w:t xml:space="preserve">Enter </w:t>
            </w:r>
            <w:r w:rsidR="001642F2">
              <w:rPr>
                <w:rFonts w:eastAsia="Times New Roman" w:cs="Times New Roman"/>
                <w:i/>
                <w:color w:val="000000"/>
              </w:rPr>
              <w:t xml:space="preserve">team decisions/notes </w:t>
            </w:r>
            <w:r w:rsidRPr="007C7841">
              <w:rPr>
                <w:rFonts w:eastAsia="Times New Roman" w:cs="Times New Roman"/>
                <w:i/>
                <w:color w:val="000000"/>
              </w:rPr>
              <w:t>here</w:t>
            </w:r>
          </w:p>
        </w:tc>
        <w:tc>
          <w:tcPr>
            <w:tcW w:w="745" w:type="pct"/>
          </w:tcPr>
          <w:p w14:paraId="57F9AF2F" w14:textId="5BC6A431" w:rsidR="00853357" w:rsidRPr="00AE595D" w:rsidRDefault="00D033DE" w:rsidP="006C2D73">
            <w:pPr>
              <w:pStyle w:val="TableParagraph"/>
              <w:rPr>
                <w:color w:val="000000"/>
              </w:rPr>
            </w:pPr>
            <w:r w:rsidRPr="00D033DE">
              <w:rPr>
                <w:rFonts w:eastAsia="Times New Roman" w:cs="Times New Roman"/>
                <w:i/>
                <w:color w:val="000000"/>
              </w:rPr>
              <w:t>Enter any additional resources and tips recommended by your ISCR team here.</w:t>
            </w:r>
          </w:p>
        </w:tc>
        <w:tc>
          <w:tcPr>
            <w:tcW w:w="817" w:type="pct"/>
          </w:tcPr>
          <w:p w14:paraId="20C28CAC" w14:textId="77777777" w:rsidR="00853357" w:rsidRPr="00AE595D" w:rsidRDefault="00584831" w:rsidP="006C2D73">
            <w:pPr>
              <w:pStyle w:val="TableParagraph"/>
              <w:rPr>
                <w:color w:val="000000"/>
              </w:rPr>
            </w:pPr>
            <w:r w:rsidRPr="00584831">
              <w:rPr>
                <w:color w:val="000000"/>
              </w:rPr>
              <w:t xml:space="preserve">Intraoperative </w:t>
            </w:r>
            <w:r>
              <w:rPr>
                <w:color w:val="000000"/>
              </w:rPr>
              <w:t xml:space="preserve">TXA </w:t>
            </w:r>
            <w:r w:rsidRPr="00584831">
              <w:rPr>
                <w:color w:val="000000"/>
              </w:rPr>
              <w:t>use</w:t>
            </w:r>
            <w:r w:rsidR="00853357" w:rsidRPr="00AE595D">
              <w:rPr>
                <w:i/>
                <w:color w:val="000000"/>
              </w:rPr>
              <w:t xml:space="preserve"> </w:t>
            </w:r>
          </w:p>
        </w:tc>
      </w:tr>
    </w:tbl>
    <w:p w14:paraId="7CD30950" w14:textId="16ED3963" w:rsidR="00605B85" w:rsidRPr="00AE595D" w:rsidRDefault="001642F2" w:rsidP="00AE595D">
      <w:pPr>
        <w:spacing w:after="120" w:line="240" w:lineRule="auto"/>
        <w:rPr>
          <w:b/>
        </w:rPr>
      </w:pPr>
      <w:r w:rsidRPr="00AE595D">
        <w:t>Abbreviations:</w:t>
      </w:r>
      <w:r>
        <w:t xml:space="preserve"> ISCR = Improving Surgical Care and Recovery</w:t>
      </w:r>
    </w:p>
    <w:p w14:paraId="47192B56" w14:textId="77777777" w:rsidR="00014742" w:rsidRDefault="00014742">
      <w:pPr>
        <w:spacing w:after="160" w:line="259" w:lineRule="auto"/>
        <w:ind w:left="360" w:hanging="360"/>
        <w:rPr>
          <w:b/>
          <w:bCs/>
          <w:sz w:val="28"/>
          <w:szCs w:val="28"/>
        </w:rPr>
      </w:pPr>
      <w:r>
        <w:br w:type="page"/>
      </w:r>
    </w:p>
    <w:p w14:paraId="2BA06406" w14:textId="77777777" w:rsidR="004B3D41" w:rsidRDefault="006A1585">
      <w:pPr>
        <w:pStyle w:val="Heading2"/>
      </w:pPr>
      <w:bookmarkStart w:id="26" w:name="_Toc117000807"/>
      <w:r w:rsidRPr="00AE595D">
        <w:lastRenderedPageBreak/>
        <w:t>Intraoperative</w:t>
      </w:r>
      <w:r w:rsidR="00FB132F">
        <w:t xml:space="preserve"> Blood Transfusion</w:t>
      </w:r>
      <w:bookmarkEnd w:id="26"/>
    </w:p>
    <w:p w14:paraId="432A1598" w14:textId="7CDFCBD2" w:rsidR="00FB132F" w:rsidRPr="00AE595D" w:rsidRDefault="00FB132F" w:rsidP="00FB132F">
      <w:pPr>
        <w:pStyle w:val="BodyText1"/>
        <w:rPr>
          <w:b/>
        </w:rPr>
      </w:pPr>
      <w:r w:rsidRPr="00FB132F">
        <w:t>Although</w:t>
      </w:r>
      <w:r w:rsidR="00D61500">
        <w:t xml:space="preserve"> levels of hemoglobin</w:t>
      </w:r>
      <w:r w:rsidRPr="00FB132F">
        <w:t xml:space="preserve"> </w:t>
      </w:r>
      <w:r w:rsidR="00D61500" w:rsidRPr="00D61500">
        <w:t>between 6 and 10 g/d</w:t>
      </w:r>
      <w:r w:rsidR="00777938">
        <w:t>L</w:t>
      </w:r>
      <w:r w:rsidR="00D61500">
        <w:t xml:space="preserve"> triggering blood </w:t>
      </w:r>
      <w:r w:rsidRPr="00FB132F">
        <w:t xml:space="preserve">transfusion are reported in the literature (including </w:t>
      </w:r>
      <w:r w:rsidRPr="00F746A8">
        <w:t>guidelines)</w:t>
      </w:r>
      <w:r w:rsidR="00FF3C84">
        <w:t>,</w:t>
      </w:r>
      <w:r w:rsidRPr="00F746A8">
        <w:rPr>
          <w:vertAlign w:val="superscript"/>
        </w:rPr>
        <w:t>1</w:t>
      </w:r>
      <w:r w:rsidRPr="00F746A8">
        <w:t xml:space="preserve"> </w:t>
      </w:r>
      <w:proofErr w:type="gramStart"/>
      <w:r w:rsidRPr="00F746A8">
        <w:t>experts</w:t>
      </w:r>
      <w:proofErr w:type="gramEnd"/>
      <w:r w:rsidRPr="00F746A8">
        <w:t xml:space="preserve"> agree that judicious use of blood transfusion during surgery is not associated with adverse outcomes and </w:t>
      </w:r>
      <w:r w:rsidR="00777938">
        <w:t xml:space="preserve">that </w:t>
      </w:r>
      <w:r w:rsidRPr="00F746A8">
        <w:t>hemoglobin of 7</w:t>
      </w:r>
      <w:r w:rsidR="00FF3C84">
        <w:rPr>
          <w:rFonts w:cstheme="minorHAnsi"/>
        </w:rPr>
        <w:t>–</w:t>
      </w:r>
      <w:r w:rsidRPr="00F746A8">
        <w:t xml:space="preserve">8 g/dL is the recommended </w:t>
      </w:r>
      <w:r w:rsidR="00777938">
        <w:t>threshold</w:t>
      </w:r>
      <w:r w:rsidR="00D61500">
        <w:t xml:space="preserve"> </w:t>
      </w:r>
      <w:r w:rsidR="00777938">
        <w:t xml:space="preserve">level </w:t>
      </w:r>
      <w:r w:rsidRPr="00F746A8">
        <w:t>for transfusion, taking clinical context into account</w:t>
      </w:r>
      <w:r w:rsidR="00FF3C84">
        <w:t>.</w:t>
      </w:r>
      <w:r w:rsidRPr="00F746A8">
        <w:rPr>
          <w:vertAlign w:val="superscript"/>
        </w:rPr>
        <w:t>2</w:t>
      </w:r>
    </w:p>
    <w:tbl>
      <w:tblPr>
        <w:tblStyle w:val="GridTable1Light1"/>
        <w:tblW w:w="5000" w:type="pct"/>
        <w:tblLook w:val="0600" w:firstRow="0" w:lastRow="0" w:firstColumn="0" w:lastColumn="0" w:noHBand="1" w:noVBand="1"/>
      </w:tblPr>
      <w:tblGrid>
        <w:gridCol w:w="3413"/>
        <w:gridCol w:w="3602"/>
        <w:gridCol w:w="4317"/>
        <w:gridCol w:w="4076"/>
        <w:gridCol w:w="3811"/>
        <w:gridCol w:w="3811"/>
      </w:tblGrid>
      <w:tr w:rsidR="004B3D41" w:rsidRPr="00FB132F" w14:paraId="07148D05" w14:textId="77777777" w:rsidTr="009C7C23">
        <w:trPr>
          <w:cantSplit/>
          <w:trHeight w:val="973"/>
          <w:tblHeader/>
        </w:trPr>
        <w:tc>
          <w:tcPr>
            <w:tcW w:w="0" w:type="pct"/>
            <w:hideMark/>
          </w:tcPr>
          <w:p w14:paraId="408B32C6" w14:textId="210B9251" w:rsidR="004B3D41" w:rsidRPr="00FB132F" w:rsidRDefault="004B3D41" w:rsidP="00FB132F">
            <w:pPr>
              <w:pStyle w:val="TableParagraph"/>
              <w:rPr>
                <w:rStyle w:val="Strong"/>
              </w:rPr>
            </w:pPr>
            <w:r w:rsidRPr="00FB132F">
              <w:rPr>
                <w:rStyle w:val="Strong"/>
              </w:rPr>
              <w:t xml:space="preserve">Pathway </w:t>
            </w:r>
          </w:p>
        </w:tc>
        <w:tc>
          <w:tcPr>
            <w:tcW w:w="0" w:type="pct"/>
            <w:hideMark/>
          </w:tcPr>
          <w:p w14:paraId="3727A581" w14:textId="77777777" w:rsidR="004B3D41" w:rsidRPr="00FB132F" w:rsidRDefault="004B3D41" w:rsidP="00FB132F">
            <w:pPr>
              <w:pStyle w:val="TableParagraph"/>
              <w:rPr>
                <w:rStyle w:val="Strong"/>
              </w:rPr>
            </w:pPr>
            <w:r w:rsidRPr="00FB132F">
              <w:rPr>
                <w:rStyle w:val="Strong"/>
              </w:rPr>
              <w:t>Component</w:t>
            </w:r>
          </w:p>
        </w:tc>
        <w:tc>
          <w:tcPr>
            <w:tcW w:w="0" w:type="pct"/>
            <w:hideMark/>
          </w:tcPr>
          <w:p w14:paraId="07051BF6" w14:textId="309B3997" w:rsidR="00494512" w:rsidRDefault="004B3D41" w:rsidP="00FB132F">
            <w:pPr>
              <w:pStyle w:val="TableParagraph"/>
              <w:rPr>
                <w:rStyle w:val="Strong"/>
              </w:rPr>
            </w:pPr>
            <w:r w:rsidRPr="00FB132F">
              <w:rPr>
                <w:rStyle w:val="Strong"/>
              </w:rPr>
              <w:t xml:space="preserve">Example Processes </w:t>
            </w:r>
            <w:r w:rsidR="001642F2">
              <w:rPr>
                <w:rStyle w:val="Strong"/>
              </w:rPr>
              <w:t>T</w:t>
            </w:r>
            <w:r w:rsidRPr="00FB132F">
              <w:rPr>
                <w:rStyle w:val="Strong"/>
              </w:rPr>
              <w:t>o Consider</w:t>
            </w:r>
          </w:p>
          <w:p w14:paraId="6A0E5487" w14:textId="77777777" w:rsidR="004B3D41" w:rsidRPr="00494512" w:rsidRDefault="004B3D41" w:rsidP="00FB132F">
            <w:pPr>
              <w:pStyle w:val="TableParagraph"/>
              <w:rPr>
                <w:rStyle w:val="Strong"/>
                <w:b w:val="0"/>
                <w:i/>
              </w:rPr>
            </w:pPr>
            <w:r w:rsidRPr="00494512">
              <w:rPr>
                <w:rStyle w:val="Strong"/>
                <w:b w:val="0"/>
                <w:i/>
              </w:rPr>
              <w:t>As a team, go through each component and discuss what approach best fits your hospital. It may be an option other than what is listed below.</w:t>
            </w:r>
          </w:p>
        </w:tc>
        <w:tc>
          <w:tcPr>
            <w:tcW w:w="0" w:type="pct"/>
            <w:hideMark/>
          </w:tcPr>
          <w:p w14:paraId="42CDA6AB" w14:textId="77777777" w:rsidR="004B3D41" w:rsidRPr="00FB132F" w:rsidRDefault="004B3D41" w:rsidP="00FB132F">
            <w:pPr>
              <w:pStyle w:val="TableParagraph"/>
              <w:rPr>
                <w:rStyle w:val="Strong"/>
              </w:rPr>
            </w:pPr>
            <w:r w:rsidRPr="00FB132F">
              <w:rPr>
                <w:rStyle w:val="Strong"/>
              </w:rPr>
              <w:t>Team Decisions/Notes</w:t>
            </w:r>
          </w:p>
          <w:p w14:paraId="667FCFFA" w14:textId="77777777" w:rsidR="004B3D41" w:rsidRPr="00494512" w:rsidRDefault="004B3D41" w:rsidP="00FB132F">
            <w:pPr>
              <w:pStyle w:val="TableParagraph"/>
              <w:rPr>
                <w:rStyle w:val="Strong"/>
                <w:b w:val="0"/>
                <w:i/>
              </w:rPr>
            </w:pPr>
            <w:r w:rsidRPr="00494512">
              <w:rPr>
                <w:rStyle w:val="Strong"/>
                <w:b w:val="0"/>
                <w:i/>
              </w:rPr>
              <w:t>As a team, note exceptions and contraindications to the treatment or medications.</w:t>
            </w:r>
          </w:p>
        </w:tc>
        <w:tc>
          <w:tcPr>
            <w:tcW w:w="0" w:type="pct"/>
            <w:hideMark/>
          </w:tcPr>
          <w:p w14:paraId="505A8C33" w14:textId="0463999E" w:rsidR="004B3D41" w:rsidRPr="00FB132F" w:rsidRDefault="00AA140E" w:rsidP="00FB132F">
            <w:pPr>
              <w:pStyle w:val="TableParagraph"/>
              <w:rPr>
                <w:rStyle w:val="Strong"/>
              </w:rPr>
            </w:pPr>
            <w:r>
              <w:rPr>
                <w:rStyle w:val="Strong"/>
              </w:rPr>
              <w:t xml:space="preserve">Other Available Resources </w:t>
            </w:r>
            <w:r w:rsidR="001642F2">
              <w:rPr>
                <w:rStyle w:val="Strong"/>
              </w:rPr>
              <w:t>and</w:t>
            </w:r>
            <w:r>
              <w:rPr>
                <w:rStyle w:val="Strong"/>
              </w:rPr>
              <w:t xml:space="preserve"> Tips </w:t>
            </w:r>
            <w:r w:rsidR="001642F2">
              <w:rPr>
                <w:rStyle w:val="Strong"/>
              </w:rPr>
              <w:t>T</w:t>
            </w:r>
            <w:r>
              <w:rPr>
                <w:rStyle w:val="Strong"/>
              </w:rPr>
              <w:t>o Consider</w:t>
            </w:r>
          </w:p>
        </w:tc>
        <w:tc>
          <w:tcPr>
            <w:tcW w:w="0" w:type="pct"/>
            <w:hideMark/>
          </w:tcPr>
          <w:p w14:paraId="3CC16D53" w14:textId="77777777" w:rsidR="009F40B9" w:rsidRPr="009F40B9" w:rsidRDefault="009F40B9" w:rsidP="009F40B9">
            <w:pPr>
              <w:pStyle w:val="TableParagraph"/>
              <w:rPr>
                <w:rStyle w:val="Strong"/>
              </w:rPr>
            </w:pPr>
            <w:r w:rsidRPr="009F40B9">
              <w:rPr>
                <w:rStyle w:val="Strong"/>
              </w:rPr>
              <w:t>ISCR Measures</w:t>
            </w:r>
          </w:p>
          <w:p w14:paraId="638BD919" w14:textId="77777777" w:rsidR="004B3D41" w:rsidRPr="00FB132F"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6EE5EC17" w14:textId="77777777" w:rsidTr="009C7C23">
        <w:trPr>
          <w:cantSplit/>
          <w:trHeight w:val="334"/>
        </w:trPr>
        <w:tc>
          <w:tcPr>
            <w:tcW w:w="0" w:type="pct"/>
            <w:hideMark/>
          </w:tcPr>
          <w:p w14:paraId="3A72B2BD" w14:textId="77777777" w:rsidR="005956DE" w:rsidRPr="00494512" w:rsidRDefault="006F533C" w:rsidP="00FB132F">
            <w:pPr>
              <w:pStyle w:val="TableParagraph"/>
              <w:rPr>
                <w:b/>
              </w:rPr>
            </w:pPr>
            <w:r w:rsidRPr="00494512">
              <w:rPr>
                <w:b/>
              </w:rPr>
              <w:t>All ISCR Pathways</w:t>
            </w:r>
          </w:p>
        </w:tc>
        <w:tc>
          <w:tcPr>
            <w:tcW w:w="0" w:type="pct"/>
          </w:tcPr>
          <w:p w14:paraId="5D3FBFCB" w14:textId="77777777" w:rsidR="005956DE" w:rsidRPr="00494512" w:rsidRDefault="005956DE" w:rsidP="00FB132F">
            <w:pPr>
              <w:pStyle w:val="TableParagraph"/>
              <w:rPr>
                <w:b/>
              </w:rPr>
            </w:pPr>
            <w:r w:rsidRPr="00494512">
              <w:rPr>
                <w:b/>
              </w:rPr>
              <w:t>Blood Transfusion</w:t>
            </w:r>
          </w:p>
        </w:tc>
        <w:tc>
          <w:tcPr>
            <w:tcW w:w="0" w:type="pct"/>
          </w:tcPr>
          <w:p w14:paraId="71ADC55B" w14:textId="77777777" w:rsidR="005956DE" w:rsidRPr="00494512" w:rsidRDefault="00494512" w:rsidP="00494512">
            <w:pPr>
              <w:pStyle w:val="TableParagraph"/>
              <w:spacing w:after="120" w:line="240" w:lineRule="auto"/>
              <w:rPr>
                <w:rFonts w:eastAsia="Times New Roman" w:cs="Times New Roman"/>
                <w:b/>
                <w:color w:val="000000"/>
              </w:rPr>
            </w:pPr>
            <w:r>
              <w:rPr>
                <w:rFonts w:eastAsia="Times New Roman" w:cs="Times New Roman"/>
                <w:b/>
                <w:color w:val="000000"/>
              </w:rPr>
              <w:t>Recommended</w:t>
            </w:r>
            <w:r w:rsidR="005956DE" w:rsidRPr="00494512">
              <w:rPr>
                <w:rFonts w:eastAsia="Times New Roman" w:cs="Times New Roman"/>
                <w:b/>
                <w:color w:val="000000"/>
              </w:rPr>
              <w:t xml:space="preserve"> approach: </w:t>
            </w:r>
          </w:p>
          <w:p w14:paraId="32792281" w14:textId="7C08F0A0" w:rsidR="005956DE" w:rsidRPr="00AE595D" w:rsidRDefault="00EB7531" w:rsidP="00FB132F">
            <w:pPr>
              <w:pStyle w:val="Bullet1"/>
            </w:pPr>
            <w:r w:rsidRPr="00AE595D">
              <w:t xml:space="preserve">Judicious blood transfusion during </w:t>
            </w:r>
            <w:r w:rsidRPr="009C15D7">
              <w:t xml:space="preserve">surgery for hemoglobin </w:t>
            </w:r>
            <w:r w:rsidR="00D61500">
              <w:t xml:space="preserve">levels </w:t>
            </w:r>
            <w:r w:rsidRPr="009C15D7">
              <w:t>of 7</w:t>
            </w:r>
            <w:r w:rsidR="001642F2">
              <w:rPr>
                <w:rFonts w:cstheme="minorHAnsi"/>
              </w:rPr>
              <w:t>–</w:t>
            </w:r>
            <w:r w:rsidRPr="009C15D7">
              <w:t xml:space="preserve">8 g/dL </w:t>
            </w:r>
            <w:r w:rsidR="00251AF1">
              <w:t>or lower</w:t>
            </w:r>
            <w:r w:rsidR="00B25D5C">
              <w:t>,</w:t>
            </w:r>
            <w:r w:rsidR="00251AF1">
              <w:t xml:space="preserve"> </w:t>
            </w:r>
            <w:r w:rsidRPr="009C15D7">
              <w:t>taking</w:t>
            </w:r>
            <w:r w:rsidRPr="00AE595D">
              <w:t xml:space="preserve"> clinical context into account</w:t>
            </w:r>
          </w:p>
        </w:tc>
        <w:tc>
          <w:tcPr>
            <w:tcW w:w="0" w:type="pct"/>
          </w:tcPr>
          <w:p w14:paraId="6C2D7ECF" w14:textId="7DBBB124" w:rsidR="005956DE" w:rsidRPr="00AE595D" w:rsidRDefault="00001AAC" w:rsidP="00FB132F">
            <w:pPr>
              <w:pStyle w:val="TableParagraph"/>
            </w:pPr>
            <w:r w:rsidRPr="007C7841">
              <w:rPr>
                <w:rFonts w:eastAsia="Times New Roman" w:cs="Times New Roman"/>
                <w:i/>
                <w:color w:val="000000"/>
              </w:rPr>
              <w:t xml:space="preserve">Enter </w:t>
            </w:r>
            <w:r w:rsidR="001642F2">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2866C423" w14:textId="68E2B1AA" w:rsidR="005956DE" w:rsidRPr="00AE595D" w:rsidRDefault="00D033DE" w:rsidP="00FB132F">
            <w:pPr>
              <w:pStyle w:val="TableParagraph"/>
              <w:rPr>
                <w:color w:val="000000"/>
              </w:rPr>
            </w:pPr>
            <w:r w:rsidRPr="00D033DE">
              <w:rPr>
                <w:rFonts w:eastAsia="Times New Roman" w:cs="Times New Roman"/>
                <w:i/>
                <w:color w:val="000000"/>
              </w:rPr>
              <w:t>Enter any additional resources and tips recommended by your ISCR team here.</w:t>
            </w:r>
          </w:p>
        </w:tc>
        <w:tc>
          <w:tcPr>
            <w:tcW w:w="0" w:type="pct"/>
          </w:tcPr>
          <w:p w14:paraId="097F2CCA" w14:textId="04BCB152" w:rsidR="005956DE" w:rsidRPr="00AE595D" w:rsidRDefault="002D0AFF" w:rsidP="00FB132F">
            <w:pPr>
              <w:pStyle w:val="TableParagraph"/>
              <w:rPr>
                <w:color w:val="000000"/>
              </w:rPr>
            </w:pPr>
            <w:r w:rsidRPr="00AE595D">
              <w:rPr>
                <w:color w:val="000000"/>
              </w:rPr>
              <w:t>Intraop</w:t>
            </w:r>
            <w:r w:rsidR="009C15D7">
              <w:rPr>
                <w:color w:val="000000"/>
              </w:rPr>
              <w:t>erative</w:t>
            </w:r>
            <w:r w:rsidRPr="00AE595D">
              <w:rPr>
                <w:color w:val="000000"/>
              </w:rPr>
              <w:t xml:space="preserve"> transfusion of packed </w:t>
            </w:r>
            <w:r w:rsidR="0005466C">
              <w:rPr>
                <w:color w:val="000000"/>
              </w:rPr>
              <w:t>RBC</w:t>
            </w:r>
            <w:r w:rsidR="00584831">
              <w:rPr>
                <w:color w:val="000000"/>
              </w:rPr>
              <w:t>s</w:t>
            </w:r>
            <w:r w:rsidR="0005466C">
              <w:rPr>
                <w:color w:val="000000"/>
              </w:rPr>
              <w:t xml:space="preserve"> (</w:t>
            </w:r>
            <w:r w:rsidR="002D7076">
              <w:rPr>
                <w:color w:val="000000"/>
              </w:rPr>
              <w:t xml:space="preserve">red </w:t>
            </w:r>
            <w:r w:rsidR="0005466C">
              <w:rPr>
                <w:color w:val="000000"/>
              </w:rPr>
              <w:t xml:space="preserve">blood </w:t>
            </w:r>
            <w:r w:rsidR="002D7076">
              <w:rPr>
                <w:color w:val="000000"/>
              </w:rPr>
              <w:t>cells</w:t>
            </w:r>
            <w:r w:rsidR="0005466C">
              <w:rPr>
                <w:color w:val="000000"/>
              </w:rPr>
              <w:t xml:space="preserve"> and whole </w:t>
            </w:r>
            <w:r w:rsidR="002D7076">
              <w:rPr>
                <w:color w:val="000000"/>
              </w:rPr>
              <w:t>blood products)</w:t>
            </w:r>
          </w:p>
        </w:tc>
      </w:tr>
    </w:tbl>
    <w:p w14:paraId="30037F7E" w14:textId="2487A565" w:rsidR="001642F2" w:rsidRDefault="001642F2" w:rsidP="00D033DE">
      <w:pPr>
        <w:pStyle w:val="BodyText1"/>
        <w:spacing w:after="0" w:line="240" w:lineRule="auto"/>
        <w:ind w:left="180" w:hanging="180"/>
      </w:pPr>
      <w:r w:rsidRPr="00AE595D">
        <w:t>Abbreviations:</w:t>
      </w:r>
      <w:r>
        <w:t xml:space="preserve"> ISCR = Improving Surgical Care and Recovery</w:t>
      </w:r>
    </w:p>
    <w:p w14:paraId="02E0DC27" w14:textId="77777777" w:rsidR="001642F2" w:rsidRDefault="001642F2" w:rsidP="00D033DE">
      <w:pPr>
        <w:pStyle w:val="BodyText1"/>
        <w:spacing w:after="0" w:line="240" w:lineRule="auto"/>
        <w:ind w:left="180" w:hanging="180"/>
      </w:pPr>
    </w:p>
    <w:p w14:paraId="059F1CBB" w14:textId="7225D258" w:rsidR="009409BF" w:rsidRPr="00F746A8" w:rsidRDefault="00FB132F" w:rsidP="00D033DE">
      <w:pPr>
        <w:pStyle w:val="BodyText1"/>
        <w:spacing w:after="0" w:line="240" w:lineRule="auto"/>
        <w:ind w:left="180" w:hanging="180"/>
      </w:pPr>
      <w:r w:rsidRPr="00F746A8">
        <w:t xml:space="preserve">1 Practice Guidelines for Perioperative Blood Management: An Updated Report by the American Society of Anesthesiologists Task Force on Perioperative Blood Management*. Anesthesiology 2015;122(2):241-275. </w:t>
      </w:r>
      <w:proofErr w:type="spellStart"/>
      <w:r w:rsidRPr="00F746A8">
        <w:t>doi</w:t>
      </w:r>
      <w:proofErr w:type="spellEnd"/>
      <w:r w:rsidRPr="00F746A8">
        <w:t>: 10.1097/ALN.0000000000000463</w:t>
      </w:r>
    </w:p>
    <w:p w14:paraId="441DD47A" w14:textId="77777777" w:rsidR="00FB132F" w:rsidRPr="00FB132F" w:rsidRDefault="00FB132F" w:rsidP="00D033DE">
      <w:pPr>
        <w:pStyle w:val="BodyText1"/>
        <w:spacing w:after="0" w:line="240" w:lineRule="auto"/>
        <w:ind w:left="180" w:hanging="180"/>
      </w:pPr>
      <w:r w:rsidRPr="00F746A8">
        <w:t>2 Carson</w:t>
      </w:r>
      <w:r w:rsidRPr="00FB132F">
        <w:t xml:space="preserve"> JL, </w:t>
      </w:r>
      <w:proofErr w:type="spellStart"/>
      <w:r w:rsidRPr="00FB132F">
        <w:t>Guyatt</w:t>
      </w:r>
      <w:proofErr w:type="spellEnd"/>
      <w:r w:rsidRPr="00FB132F">
        <w:t xml:space="preserve"> G, Heddle NM, et al. Clinical Practice Guidelines From the AABB: Red Blood Cell Transfusion Thresholds and Storage. JAMA. 2016;316(19):2025–2035. doi:10.1001/jama.2016.9185</w:t>
      </w:r>
    </w:p>
    <w:p w14:paraId="476D1C0B" w14:textId="77777777" w:rsidR="00FB132F" w:rsidRDefault="00FB132F" w:rsidP="00FB132F">
      <w:pPr>
        <w:pStyle w:val="Section2Title"/>
      </w:pPr>
    </w:p>
    <w:p w14:paraId="3FD9B607" w14:textId="77777777" w:rsidR="00F746A8" w:rsidRDefault="00F746A8">
      <w:pPr>
        <w:spacing w:after="160" w:line="259" w:lineRule="auto"/>
        <w:ind w:left="360" w:hanging="360"/>
        <w:rPr>
          <w:b/>
          <w:bCs/>
          <w:sz w:val="28"/>
          <w:szCs w:val="28"/>
        </w:rPr>
      </w:pPr>
      <w:r>
        <w:br w:type="page"/>
      </w:r>
    </w:p>
    <w:p w14:paraId="1E28F0D4" w14:textId="77777777" w:rsidR="004B3D41" w:rsidRDefault="006A1585">
      <w:pPr>
        <w:pStyle w:val="Heading2"/>
      </w:pPr>
      <w:bookmarkStart w:id="27" w:name="_Toc117000808"/>
      <w:r w:rsidRPr="00AE595D">
        <w:lastRenderedPageBreak/>
        <w:t>Intraoperative</w:t>
      </w:r>
      <w:r w:rsidR="00FB132F">
        <w:t xml:space="preserve"> Ventilation</w:t>
      </w:r>
      <w:bookmarkEnd w:id="27"/>
    </w:p>
    <w:p w14:paraId="23ABB708" w14:textId="7E042D19" w:rsidR="00FB132F" w:rsidRPr="00FB132F" w:rsidRDefault="00FB132F" w:rsidP="00EC3092">
      <w:pPr>
        <w:pStyle w:val="BodyText1"/>
      </w:pPr>
      <w:r w:rsidRPr="00FB132F">
        <w:t>A lung-protective ventilation strategy is recommended. Tidal volumes of 6</w:t>
      </w:r>
      <w:r w:rsidR="001642F2">
        <w:rPr>
          <w:rFonts w:cstheme="minorHAnsi"/>
        </w:rPr>
        <w:t>–</w:t>
      </w:r>
      <w:r w:rsidRPr="00FB132F">
        <w:t xml:space="preserve">8 mL/kg </w:t>
      </w:r>
      <w:r w:rsidR="00251AF1">
        <w:t xml:space="preserve">of </w:t>
      </w:r>
      <w:r w:rsidRPr="00FB132F">
        <w:t>predicted body weight with positive end expiratory pressures of 5 cm H2O may decrease pulmonary complications.</w:t>
      </w:r>
    </w:p>
    <w:tbl>
      <w:tblPr>
        <w:tblStyle w:val="GridTable1Light1"/>
        <w:tblW w:w="5000" w:type="pct"/>
        <w:tblLook w:val="0600" w:firstRow="0" w:lastRow="0" w:firstColumn="0" w:lastColumn="0" w:noHBand="1" w:noVBand="1"/>
      </w:tblPr>
      <w:tblGrid>
        <w:gridCol w:w="1880"/>
        <w:gridCol w:w="1893"/>
        <w:gridCol w:w="8010"/>
        <w:gridCol w:w="3565"/>
        <w:gridCol w:w="3210"/>
        <w:gridCol w:w="4472"/>
      </w:tblGrid>
      <w:tr w:rsidR="004B3D41" w:rsidRPr="00FB132F" w14:paraId="0FBE6DEF" w14:textId="77777777" w:rsidTr="00877C2A">
        <w:trPr>
          <w:cantSplit/>
          <w:trHeight w:val="1493"/>
          <w:tblHeader/>
        </w:trPr>
        <w:tc>
          <w:tcPr>
            <w:tcW w:w="408" w:type="pct"/>
            <w:hideMark/>
          </w:tcPr>
          <w:p w14:paraId="0D99625C" w14:textId="12CC768F" w:rsidR="004B3D41" w:rsidRPr="00FB132F" w:rsidRDefault="004B3D41" w:rsidP="00FB132F">
            <w:pPr>
              <w:pStyle w:val="TableParagraph"/>
              <w:rPr>
                <w:rStyle w:val="Strong"/>
              </w:rPr>
            </w:pPr>
            <w:r w:rsidRPr="00FB132F">
              <w:rPr>
                <w:rStyle w:val="Strong"/>
              </w:rPr>
              <w:t xml:space="preserve">Pathway </w:t>
            </w:r>
          </w:p>
        </w:tc>
        <w:tc>
          <w:tcPr>
            <w:tcW w:w="411" w:type="pct"/>
            <w:hideMark/>
          </w:tcPr>
          <w:p w14:paraId="505F1C97" w14:textId="77777777" w:rsidR="004B3D41" w:rsidRPr="00FB132F" w:rsidRDefault="004B3D41" w:rsidP="00FB132F">
            <w:pPr>
              <w:pStyle w:val="TableParagraph"/>
              <w:rPr>
                <w:rStyle w:val="Strong"/>
              </w:rPr>
            </w:pPr>
            <w:r w:rsidRPr="00FB132F">
              <w:rPr>
                <w:rStyle w:val="Strong"/>
              </w:rPr>
              <w:t>Component</w:t>
            </w:r>
          </w:p>
        </w:tc>
        <w:tc>
          <w:tcPr>
            <w:tcW w:w="1739" w:type="pct"/>
            <w:hideMark/>
          </w:tcPr>
          <w:p w14:paraId="6BD8BD65" w14:textId="01430568" w:rsidR="00494512" w:rsidRDefault="004B3D41" w:rsidP="00FB132F">
            <w:pPr>
              <w:pStyle w:val="TableParagraph"/>
              <w:rPr>
                <w:rStyle w:val="Strong"/>
              </w:rPr>
            </w:pPr>
            <w:r w:rsidRPr="00FB132F">
              <w:rPr>
                <w:rStyle w:val="Strong"/>
              </w:rPr>
              <w:t xml:space="preserve">Example Processes </w:t>
            </w:r>
            <w:r w:rsidR="001642F2">
              <w:rPr>
                <w:rStyle w:val="Strong"/>
              </w:rPr>
              <w:t>T</w:t>
            </w:r>
            <w:r w:rsidRPr="00FB132F">
              <w:rPr>
                <w:rStyle w:val="Strong"/>
              </w:rPr>
              <w:t>o Consider</w:t>
            </w:r>
          </w:p>
          <w:p w14:paraId="74E6C526" w14:textId="77777777" w:rsidR="004B3D41" w:rsidRPr="00494512" w:rsidRDefault="004B3D41" w:rsidP="00FB132F">
            <w:pPr>
              <w:pStyle w:val="TableParagraph"/>
              <w:rPr>
                <w:rStyle w:val="Strong"/>
                <w:b w:val="0"/>
                <w:i/>
              </w:rPr>
            </w:pPr>
            <w:r w:rsidRPr="00494512">
              <w:rPr>
                <w:rStyle w:val="Strong"/>
                <w:b w:val="0"/>
                <w:i/>
              </w:rPr>
              <w:t>As a team, go through each component and discuss what approach best fits your hospital. It may be an option other than what is listed below.</w:t>
            </w:r>
          </w:p>
        </w:tc>
        <w:tc>
          <w:tcPr>
            <w:tcW w:w="774" w:type="pct"/>
            <w:hideMark/>
          </w:tcPr>
          <w:p w14:paraId="54262D94" w14:textId="77777777" w:rsidR="004B3D41" w:rsidRPr="00FB132F" w:rsidRDefault="004B3D41" w:rsidP="00FB132F">
            <w:pPr>
              <w:pStyle w:val="TableParagraph"/>
              <w:rPr>
                <w:rStyle w:val="Strong"/>
              </w:rPr>
            </w:pPr>
            <w:r w:rsidRPr="00FB132F">
              <w:rPr>
                <w:rStyle w:val="Strong"/>
              </w:rPr>
              <w:t>Team Decisions/Notes</w:t>
            </w:r>
          </w:p>
          <w:p w14:paraId="57AF5A76" w14:textId="77777777" w:rsidR="004B3D41" w:rsidRPr="00494512" w:rsidRDefault="004B3D41" w:rsidP="00FB132F">
            <w:pPr>
              <w:pStyle w:val="TableParagraph"/>
              <w:rPr>
                <w:rStyle w:val="Strong"/>
                <w:b w:val="0"/>
                <w:i/>
              </w:rPr>
            </w:pPr>
            <w:r w:rsidRPr="00494512">
              <w:rPr>
                <w:rStyle w:val="Strong"/>
                <w:b w:val="0"/>
                <w:i/>
              </w:rPr>
              <w:t>As a team, note exceptions and contraindications to the treatment or medications.</w:t>
            </w:r>
          </w:p>
        </w:tc>
        <w:tc>
          <w:tcPr>
            <w:tcW w:w="697" w:type="pct"/>
            <w:hideMark/>
          </w:tcPr>
          <w:p w14:paraId="7D2E3695" w14:textId="5A9A269D" w:rsidR="004B3D41" w:rsidRPr="00FB132F" w:rsidRDefault="00AA140E" w:rsidP="00FB132F">
            <w:pPr>
              <w:pStyle w:val="TableParagraph"/>
              <w:rPr>
                <w:rStyle w:val="Strong"/>
              </w:rPr>
            </w:pPr>
            <w:r>
              <w:rPr>
                <w:rStyle w:val="Strong"/>
              </w:rPr>
              <w:t xml:space="preserve">Other Available Resources </w:t>
            </w:r>
            <w:r w:rsidR="001642F2">
              <w:rPr>
                <w:rStyle w:val="Strong"/>
              </w:rPr>
              <w:t>and</w:t>
            </w:r>
            <w:r>
              <w:rPr>
                <w:rStyle w:val="Strong"/>
              </w:rPr>
              <w:t xml:space="preserve"> Tips </w:t>
            </w:r>
            <w:r w:rsidR="001642F2">
              <w:rPr>
                <w:rStyle w:val="Strong"/>
              </w:rPr>
              <w:t>T</w:t>
            </w:r>
            <w:r>
              <w:rPr>
                <w:rStyle w:val="Strong"/>
              </w:rPr>
              <w:t>o Consider</w:t>
            </w:r>
          </w:p>
        </w:tc>
        <w:tc>
          <w:tcPr>
            <w:tcW w:w="971" w:type="pct"/>
            <w:hideMark/>
          </w:tcPr>
          <w:p w14:paraId="70F0EA89" w14:textId="77777777" w:rsidR="009F40B9" w:rsidRPr="009F40B9" w:rsidRDefault="009F40B9" w:rsidP="009F40B9">
            <w:pPr>
              <w:pStyle w:val="TableParagraph"/>
              <w:rPr>
                <w:rStyle w:val="Strong"/>
              </w:rPr>
            </w:pPr>
            <w:r w:rsidRPr="009F40B9">
              <w:rPr>
                <w:rStyle w:val="Strong"/>
              </w:rPr>
              <w:t>ISCR Measures</w:t>
            </w:r>
          </w:p>
          <w:p w14:paraId="65628613" w14:textId="77777777" w:rsidR="004B3D41" w:rsidRPr="00FB132F"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5A51E855" w14:textId="77777777" w:rsidTr="00877C2A">
        <w:trPr>
          <w:cantSplit/>
          <w:trHeight w:val="334"/>
        </w:trPr>
        <w:tc>
          <w:tcPr>
            <w:tcW w:w="408" w:type="pct"/>
            <w:hideMark/>
          </w:tcPr>
          <w:p w14:paraId="178C13F0" w14:textId="77777777" w:rsidR="005956DE" w:rsidRPr="00494512" w:rsidRDefault="006F533C" w:rsidP="00FB132F">
            <w:pPr>
              <w:pStyle w:val="TableParagraph"/>
              <w:rPr>
                <w:b/>
              </w:rPr>
            </w:pPr>
            <w:r w:rsidRPr="00494512">
              <w:rPr>
                <w:b/>
              </w:rPr>
              <w:t>All ISCR Pathways</w:t>
            </w:r>
          </w:p>
        </w:tc>
        <w:tc>
          <w:tcPr>
            <w:tcW w:w="411" w:type="pct"/>
          </w:tcPr>
          <w:p w14:paraId="73E594CF" w14:textId="77777777" w:rsidR="005956DE" w:rsidRPr="00494512" w:rsidRDefault="005956DE" w:rsidP="00FB132F">
            <w:pPr>
              <w:pStyle w:val="TableParagraph"/>
              <w:rPr>
                <w:b/>
              </w:rPr>
            </w:pPr>
            <w:r w:rsidRPr="00494512">
              <w:rPr>
                <w:b/>
              </w:rPr>
              <w:t>Ventilation</w:t>
            </w:r>
          </w:p>
        </w:tc>
        <w:tc>
          <w:tcPr>
            <w:tcW w:w="1739" w:type="pct"/>
          </w:tcPr>
          <w:p w14:paraId="498AB2FF" w14:textId="77777777" w:rsidR="005956DE" w:rsidRPr="00494512" w:rsidRDefault="005956DE" w:rsidP="00494512">
            <w:pPr>
              <w:pStyle w:val="TableParagraph"/>
              <w:spacing w:after="120" w:line="240" w:lineRule="auto"/>
              <w:rPr>
                <w:rFonts w:eastAsia="Times New Roman" w:cs="Times New Roman"/>
                <w:b/>
                <w:color w:val="000000"/>
              </w:rPr>
            </w:pPr>
            <w:r w:rsidRPr="00494512">
              <w:rPr>
                <w:rFonts w:eastAsia="Times New Roman" w:cs="Times New Roman"/>
                <w:b/>
                <w:color w:val="000000"/>
              </w:rPr>
              <w:t xml:space="preserve">Recommended </w:t>
            </w:r>
            <w:r w:rsidR="00494512">
              <w:rPr>
                <w:rFonts w:eastAsia="Times New Roman" w:cs="Times New Roman"/>
                <w:b/>
                <w:color w:val="000000"/>
              </w:rPr>
              <w:t>approach</w:t>
            </w:r>
            <w:r w:rsidRPr="00494512">
              <w:rPr>
                <w:rFonts w:eastAsia="Times New Roman" w:cs="Times New Roman"/>
                <w:b/>
                <w:color w:val="000000"/>
              </w:rPr>
              <w:t>:</w:t>
            </w:r>
          </w:p>
          <w:p w14:paraId="6901CCC2" w14:textId="66C83F51" w:rsidR="005956DE" w:rsidRPr="00AE595D" w:rsidRDefault="005956DE" w:rsidP="00FB132F">
            <w:pPr>
              <w:pStyle w:val="Bullet1"/>
            </w:pPr>
            <w:r w:rsidRPr="00AE595D">
              <w:t>Intraoperative tidal volume 6</w:t>
            </w:r>
            <w:r w:rsidR="001642F2">
              <w:rPr>
                <w:rFonts w:cstheme="minorHAnsi"/>
              </w:rPr>
              <w:t>–</w:t>
            </w:r>
            <w:r w:rsidRPr="00AE595D">
              <w:t>8 m</w:t>
            </w:r>
            <w:r w:rsidR="002A0AF8" w:rsidRPr="00AE595D">
              <w:t>L</w:t>
            </w:r>
            <w:r w:rsidRPr="00AE595D">
              <w:t xml:space="preserve">/kg </w:t>
            </w:r>
            <w:r w:rsidR="00251AF1">
              <w:t xml:space="preserve">of </w:t>
            </w:r>
            <w:r w:rsidRPr="00AE595D">
              <w:t>predicted body weight</w:t>
            </w:r>
            <w:r w:rsidR="0000376A" w:rsidRPr="00AE595D">
              <w:t xml:space="preserve"> with positive end expiratory pressures of 5 cm H2O</w:t>
            </w:r>
          </w:p>
        </w:tc>
        <w:tc>
          <w:tcPr>
            <w:tcW w:w="774" w:type="pct"/>
          </w:tcPr>
          <w:p w14:paraId="05190C71" w14:textId="617A1B55" w:rsidR="005956DE" w:rsidRPr="00AE595D" w:rsidRDefault="00C2156C" w:rsidP="00FB132F">
            <w:pPr>
              <w:pStyle w:val="TableParagraph"/>
              <w:rPr>
                <w:rFonts w:eastAsia="Times New Roman" w:cs="Times New Roman"/>
                <w:color w:val="000000"/>
              </w:rPr>
            </w:pPr>
            <w:r w:rsidRPr="007C7841">
              <w:rPr>
                <w:rFonts w:eastAsia="Times New Roman" w:cs="Times New Roman"/>
                <w:i/>
                <w:color w:val="000000"/>
              </w:rPr>
              <w:t xml:space="preserve">Enter </w:t>
            </w:r>
            <w:r w:rsidR="001642F2">
              <w:rPr>
                <w:rFonts w:eastAsia="Times New Roman" w:cs="Times New Roman"/>
                <w:i/>
                <w:color w:val="000000"/>
              </w:rPr>
              <w:t xml:space="preserve">team decisions/notes </w:t>
            </w:r>
            <w:r w:rsidRPr="007C7841">
              <w:rPr>
                <w:rFonts w:eastAsia="Times New Roman" w:cs="Times New Roman"/>
                <w:i/>
                <w:color w:val="000000"/>
              </w:rPr>
              <w:t>here</w:t>
            </w:r>
          </w:p>
        </w:tc>
        <w:tc>
          <w:tcPr>
            <w:tcW w:w="697" w:type="pct"/>
          </w:tcPr>
          <w:p w14:paraId="2CFEF5FC" w14:textId="516C1AB9" w:rsidR="005956DE" w:rsidRPr="00D033DE" w:rsidRDefault="00D033DE" w:rsidP="00D033DE">
            <w:pPr>
              <w:pStyle w:val="TableParagraph"/>
              <w:ind w:left="26"/>
              <w:rPr>
                <w:rFonts w:eastAsia="Times New Roman" w:cs="Times New Roman"/>
                <w:i/>
                <w:color w:val="000000"/>
              </w:rPr>
            </w:pPr>
            <w:r w:rsidRPr="00D033DE">
              <w:rPr>
                <w:rFonts w:eastAsia="Times New Roman" w:cs="Times New Roman"/>
                <w:i/>
                <w:color w:val="000000"/>
              </w:rPr>
              <w:t>Enter any additional resources and tips recommended by your ISCR team here.</w:t>
            </w:r>
          </w:p>
        </w:tc>
        <w:tc>
          <w:tcPr>
            <w:tcW w:w="971" w:type="pct"/>
          </w:tcPr>
          <w:p w14:paraId="4C2FA175" w14:textId="5B9A46F9" w:rsidR="005956DE" w:rsidRPr="00D033DE" w:rsidRDefault="00D033DE" w:rsidP="00FB132F">
            <w:pPr>
              <w:pStyle w:val="TableParagraph"/>
              <w:rPr>
                <w:rFonts w:eastAsia="Times New Roman" w:cs="Times New Roman"/>
                <w:i/>
                <w:color w:val="000000"/>
              </w:rPr>
            </w:pPr>
            <w:r w:rsidRPr="00D033DE">
              <w:rPr>
                <w:rFonts w:eastAsia="Times New Roman" w:cs="Times New Roman"/>
                <w:i/>
                <w:color w:val="000000"/>
              </w:rPr>
              <w:t xml:space="preserve">Enter </w:t>
            </w:r>
            <w:r w:rsidR="001642F2">
              <w:rPr>
                <w:rFonts w:eastAsia="Times New Roman" w:cs="Times New Roman"/>
                <w:i/>
                <w:color w:val="000000"/>
              </w:rPr>
              <w:t xml:space="preserve">ISCR measures </w:t>
            </w:r>
            <w:r w:rsidRPr="00D033DE">
              <w:rPr>
                <w:rFonts w:eastAsia="Times New Roman" w:cs="Times New Roman"/>
                <w:i/>
                <w:color w:val="000000"/>
              </w:rPr>
              <w:t>here</w:t>
            </w:r>
          </w:p>
        </w:tc>
      </w:tr>
    </w:tbl>
    <w:p w14:paraId="134AF520" w14:textId="48A19CB7" w:rsidR="00F746A8" w:rsidRDefault="001642F2" w:rsidP="00F746A8">
      <w:pPr>
        <w:spacing w:after="160" w:line="259" w:lineRule="auto"/>
        <w:rPr>
          <w:b/>
        </w:rPr>
      </w:pPr>
      <w:r w:rsidRPr="00AE595D">
        <w:t>Abbreviations:</w:t>
      </w:r>
      <w:r>
        <w:t xml:space="preserve"> ISCR = Improving Surgical Care and Recovery</w:t>
      </w:r>
    </w:p>
    <w:p w14:paraId="3DAA83D9" w14:textId="77777777" w:rsidR="00014742" w:rsidRDefault="00014742">
      <w:pPr>
        <w:spacing w:after="160" w:line="259" w:lineRule="auto"/>
        <w:ind w:left="360" w:hanging="360"/>
        <w:rPr>
          <w:b/>
          <w:bCs/>
          <w:sz w:val="28"/>
          <w:szCs w:val="28"/>
        </w:rPr>
      </w:pPr>
      <w:r>
        <w:br w:type="page"/>
      </w:r>
    </w:p>
    <w:p w14:paraId="5190F0A6" w14:textId="77777777" w:rsidR="006A1585" w:rsidRDefault="006A1585">
      <w:pPr>
        <w:pStyle w:val="Heading2"/>
      </w:pPr>
      <w:bookmarkStart w:id="28" w:name="_Toc117000809"/>
      <w:r w:rsidRPr="00AE595D">
        <w:lastRenderedPageBreak/>
        <w:t>Intraoperative</w:t>
      </w:r>
      <w:r w:rsidR="00FB132F">
        <w:t xml:space="preserve"> </w:t>
      </w:r>
      <w:r w:rsidR="00FB132F" w:rsidRPr="00AE595D">
        <w:t>Normothermia</w:t>
      </w:r>
      <w:bookmarkEnd w:id="28"/>
    </w:p>
    <w:p w14:paraId="406D01D2" w14:textId="77777777" w:rsidR="00FB132F" w:rsidRPr="00AE595D" w:rsidRDefault="00FB132F" w:rsidP="00FB132F">
      <w:pPr>
        <w:pStyle w:val="BodyText1"/>
        <w:rPr>
          <w:b/>
        </w:rPr>
      </w:pPr>
      <w:r w:rsidRPr="00FB132F">
        <w:t>Normothermia should be maintained throughout the preoperative, intraoperative, and immediate postoperative period. Preoperative warming maybe helpful in maintaining intraoperative normothermia and should be especially considered for patients who are elderly, patients with cardiopulmonary disease, and</w:t>
      </w:r>
      <w:r w:rsidR="00251AF1">
        <w:t xml:space="preserve"> for</w:t>
      </w:r>
      <w:r w:rsidRPr="00FB132F">
        <w:t xml:space="preserve"> long procedures.</w:t>
      </w:r>
    </w:p>
    <w:tbl>
      <w:tblPr>
        <w:tblStyle w:val="GridTable1Light1"/>
        <w:tblW w:w="5000" w:type="pct"/>
        <w:tblLook w:val="0600" w:firstRow="0" w:lastRow="0" w:firstColumn="0" w:lastColumn="0" w:noHBand="1" w:noVBand="1"/>
      </w:tblPr>
      <w:tblGrid>
        <w:gridCol w:w="1880"/>
        <w:gridCol w:w="1893"/>
        <w:gridCol w:w="7655"/>
        <w:gridCol w:w="3565"/>
        <w:gridCol w:w="3565"/>
        <w:gridCol w:w="4472"/>
      </w:tblGrid>
      <w:tr w:rsidR="004B3D41" w:rsidRPr="00FB132F" w14:paraId="505093DC" w14:textId="77777777" w:rsidTr="009C7C23">
        <w:trPr>
          <w:cantSplit/>
          <w:trHeight w:val="973"/>
          <w:tblHeader/>
        </w:trPr>
        <w:tc>
          <w:tcPr>
            <w:tcW w:w="0" w:type="pct"/>
            <w:hideMark/>
          </w:tcPr>
          <w:p w14:paraId="30EBB63F" w14:textId="39C9A190" w:rsidR="004B3D41" w:rsidRPr="00FB132F" w:rsidRDefault="004B3D41" w:rsidP="00FB132F">
            <w:pPr>
              <w:pStyle w:val="BodyText1"/>
              <w:rPr>
                <w:rStyle w:val="Strong"/>
              </w:rPr>
            </w:pPr>
            <w:r w:rsidRPr="00FB132F">
              <w:rPr>
                <w:rStyle w:val="Strong"/>
              </w:rPr>
              <w:t xml:space="preserve">Pathway </w:t>
            </w:r>
          </w:p>
        </w:tc>
        <w:tc>
          <w:tcPr>
            <w:tcW w:w="0" w:type="pct"/>
            <w:hideMark/>
          </w:tcPr>
          <w:p w14:paraId="5DBB6A5F" w14:textId="77777777" w:rsidR="004B3D41" w:rsidRPr="00FB132F" w:rsidRDefault="004B3D41" w:rsidP="00FB132F">
            <w:pPr>
              <w:pStyle w:val="BodyText1"/>
              <w:rPr>
                <w:rStyle w:val="Strong"/>
              </w:rPr>
            </w:pPr>
            <w:r w:rsidRPr="00FB132F">
              <w:rPr>
                <w:rStyle w:val="Strong"/>
              </w:rPr>
              <w:t>Component</w:t>
            </w:r>
          </w:p>
        </w:tc>
        <w:tc>
          <w:tcPr>
            <w:tcW w:w="0" w:type="pct"/>
            <w:hideMark/>
          </w:tcPr>
          <w:p w14:paraId="79ECB665" w14:textId="2B31F5B2" w:rsidR="00494512" w:rsidRDefault="004B3D41" w:rsidP="00FB132F">
            <w:pPr>
              <w:pStyle w:val="BodyText1"/>
              <w:rPr>
                <w:rStyle w:val="Strong"/>
              </w:rPr>
            </w:pPr>
            <w:r w:rsidRPr="00FB132F">
              <w:rPr>
                <w:rStyle w:val="Strong"/>
              </w:rPr>
              <w:t xml:space="preserve">Example Processes </w:t>
            </w:r>
            <w:r w:rsidR="001642F2">
              <w:rPr>
                <w:rStyle w:val="Strong"/>
              </w:rPr>
              <w:t>T</w:t>
            </w:r>
            <w:r w:rsidRPr="00FB132F">
              <w:rPr>
                <w:rStyle w:val="Strong"/>
              </w:rPr>
              <w:t>o Consider</w:t>
            </w:r>
          </w:p>
          <w:p w14:paraId="091E3283" w14:textId="77777777" w:rsidR="004B3D41" w:rsidRPr="00494512" w:rsidRDefault="004B3D41" w:rsidP="00FB132F">
            <w:pPr>
              <w:pStyle w:val="BodyText1"/>
              <w:rPr>
                <w:rStyle w:val="Strong"/>
                <w:b w:val="0"/>
                <w:i/>
              </w:rPr>
            </w:pPr>
            <w:r w:rsidRPr="00494512">
              <w:rPr>
                <w:rStyle w:val="Strong"/>
                <w:b w:val="0"/>
                <w:i/>
              </w:rPr>
              <w:t>As a team, go through each component and discuss what approach best fits your hospital. It may be an option other than what is listed below.</w:t>
            </w:r>
          </w:p>
        </w:tc>
        <w:tc>
          <w:tcPr>
            <w:tcW w:w="0" w:type="pct"/>
            <w:hideMark/>
          </w:tcPr>
          <w:p w14:paraId="66847BC4" w14:textId="77777777" w:rsidR="004B3D41" w:rsidRPr="00FB132F" w:rsidRDefault="004B3D41" w:rsidP="00FB132F">
            <w:pPr>
              <w:pStyle w:val="BodyText1"/>
              <w:rPr>
                <w:rStyle w:val="Strong"/>
              </w:rPr>
            </w:pPr>
            <w:r w:rsidRPr="00FB132F">
              <w:rPr>
                <w:rStyle w:val="Strong"/>
              </w:rPr>
              <w:t>Team Decisions/Notes</w:t>
            </w:r>
          </w:p>
          <w:p w14:paraId="038D068B" w14:textId="77777777" w:rsidR="004B3D41" w:rsidRPr="00494512" w:rsidRDefault="004B3D41" w:rsidP="00FB132F">
            <w:pPr>
              <w:pStyle w:val="BodyText1"/>
              <w:rPr>
                <w:rStyle w:val="Strong"/>
                <w:b w:val="0"/>
                <w:i/>
              </w:rPr>
            </w:pPr>
            <w:r w:rsidRPr="00494512">
              <w:rPr>
                <w:rStyle w:val="Strong"/>
                <w:b w:val="0"/>
                <w:i/>
              </w:rPr>
              <w:t>As a team, note exceptions and contraindications to the treatment or medications.</w:t>
            </w:r>
          </w:p>
        </w:tc>
        <w:tc>
          <w:tcPr>
            <w:tcW w:w="0" w:type="pct"/>
            <w:hideMark/>
          </w:tcPr>
          <w:p w14:paraId="5440AB08" w14:textId="6BF622FE" w:rsidR="004B3D41" w:rsidRPr="00FB132F" w:rsidRDefault="00AA140E" w:rsidP="00FB132F">
            <w:pPr>
              <w:pStyle w:val="BodyText1"/>
              <w:rPr>
                <w:rStyle w:val="Strong"/>
              </w:rPr>
            </w:pPr>
            <w:r>
              <w:rPr>
                <w:rStyle w:val="Strong"/>
              </w:rPr>
              <w:t xml:space="preserve">Other Available Resources </w:t>
            </w:r>
            <w:r w:rsidR="001642F2">
              <w:rPr>
                <w:rStyle w:val="Strong"/>
              </w:rPr>
              <w:t>and</w:t>
            </w:r>
            <w:r>
              <w:rPr>
                <w:rStyle w:val="Strong"/>
              </w:rPr>
              <w:t xml:space="preserve"> Tips </w:t>
            </w:r>
            <w:r w:rsidR="001642F2">
              <w:rPr>
                <w:rStyle w:val="Strong"/>
              </w:rPr>
              <w:t>T</w:t>
            </w:r>
            <w:r>
              <w:rPr>
                <w:rStyle w:val="Strong"/>
              </w:rPr>
              <w:t>o Consider</w:t>
            </w:r>
          </w:p>
        </w:tc>
        <w:tc>
          <w:tcPr>
            <w:tcW w:w="0" w:type="pct"/>
            <w:hideMark/>
          </w:tcPr>
          <w:p w14:paraId="4FEE3603" w14:textId="77777777" w:rsidR="009F40B9" w:rsidRPr="009F40B9" w:rsidRDefault="009F40B9" w:rsidP="009F40B9">
            <w:pPr>
              <w:pStyle w:val="TableParagraph"/>
              <w:rPr>
                <w:rStyle w:val="Strong"/>
              </w:rPr>
            </w:pPr>
            <w:r w:rsidRPr="009F40B9">
              <w:rPr>
                <w:rStyle w:val="Strong"/>
              </w:rPr>
              <w:t>ISCR Measures</w:t>
            </w:r>
          </w:p>
          <w:p w14:paraId="009ADE58" w14:textId="77777777" w:rsidR="004B3D41" w:rsidRPr="00FB132F" w:rsidRDefault="009F40B9" w:rsidP="009F40B9">
            <w:pPr>
              <w:pStyle w:val="BodyText1"/>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35C884A3" w14:textId="77777777" w:rsidTr="00F746A8">
        <w:trPr>
          <w:cantSplit/>
          <w:trHeight w:val="334"/>
        </w:trPr>
        <w:tc>
          <w:tcPr>
            <w:tcW w:w="408" w:type="pct"/>
            <w:hideMark/>
          </w:tcPr>
          <w:p w14:paraId="3E453A1C" w14:textId="77777777" w:rsidR="005956DE" w:rsidRPr="00494512" w:rsidRDefault="006F533C" w:rsidP="00FB132F">
            <w:pPr>
              <w:pStyle w:val="BodyText1"/>
              <w:rPr>
                <w:b/>
              </w:rPr>
            </w:pPr>
            <w:r w:rsidRPr="00494512">
              <w:rPr>
                <w:b/>
              </w:rPr>
              <w:t>All ISCR Pathways</w:t>
            </w:r>
          </w:p>
        </w:tc>
        <w:tc>
          <w:tcPr>
            <w:tcW w:w="411" w:type="pct"/>
          </w:tcPr>
          <w:p w14:paraId="00D32BA7" w14:textId="77777777" w:rsidR="005956DE" w:rsidRPr="00494512" w:rsidRDefault="005956DE" w:rsidP="00FB132F">
            <w:pPr>
              <w:pStyle w:val="BodyText1"/>
              <w:rPr>
                <w:b/>
              </w:rPr>
            </w:pPr>
            <w:r w:rsidRPr="00494512">
              <w:rPr>
                <w:b/>
              </w:rPr>
              <w:t>Normothermia</w:t>
            </w:r>
          </w:p>
        </w:tc>
        <w:tc>
          <w:tcPr>
            <w:tcW w:w="1662" w:type="pct"/>
          </w:tcPr>
          <w:p w14:paraId="403E533A" w14:textId="77777777" w:rsidR="005956DE" w:rsidRPr="00494512" w:rsidRDefault="005956DE" w:rsidP="00494512">
            <w:pPr>
              <w:pStyle w:val="BodyText1"/>
              <w:spacing w:after="120" w:line="240" w:lineRule="auto"/>
              <w:rPr>
                <w:rFonts w:eastAsia="Times New Roman" w:cs="Times New Roman"/>
                <w:b/>
                <w:color w:val="000000"/>
              </w:rPr>
            </w:pPr>
            <w:r w:rsidRPr="00494512">
              <w:rPr>
                <w:rFonts w:eastAsia="Times New Roman" w:cs="Times New Roman"/>
                <w:b/>
                <w:color w:val="000000"/>
              </w:rPr>
              <w:t xml:space="preserve">Choose your approach: </w:t>
            </w:r>
          </w:p>
          <w:p w14:paraId="320B9C55" w14:textId="77777777" w:rsidR="005956DE" w:rsidRPr="00AE595D" w:rsidRDefault="005956DE" w:rsidP="00FB132F">
            <w:pPr>
              <w:pStyle w:val="Bullet1"/>
            </w:pPr>
            <w:r w:rsidRPr="00AE595D">
              <w:t>Forced air warmer in operating room</w:t>
            </w:r>
          </w:p>
          <w:p w14:paraId="02793A08" w14:textId="77777777" w:rsidR="005956DE" w:rsidRPr="00AE595D" w:rsidRDefault="005956DE" w:rsidP="00FB132F">
            <w:pPr>
              <w:pStyle w:val="Bullet1"/>
            </w:pPr>
            <w:r w:rsidRPr="00AE595D">
              <w:t>Warmed intravenous fluids in the operating room</w:t>
            </w:r>
          </w:p>
          <w:p w14:paraId="7FB3ED84" w14:textId="77777777" w:rsidR="005956DE" w:rsidRPr="00AE595D" w:rsidRDefault="005956DE" w:rsidP="00FB132F">
            <w:pPr>
              <w:pStyle w:val="BodyText1"/>
              <w:rPr>
                <w:rFonts w:eastAsia="Times New Roman" w:cs="Times New Roman"/>
                <w:color w:val="000000"/>
              </w:rPr>
            </w:pPr>
          </w:p>
        </w:tc>
        <w:tc>
          <w:tcPr>
            <w:tcW w:w="774" w:type="pct"/>
          </w:tcPr>
          <w:p w14:paraId="34ABCC07" w14:textId="6855D0CB" w:rsidR="005956DE" w:rsidRPr="00AE595D" w:rsidRDefault="00C2156C" w:rsidP="00FB132F">
            <w:pPr>
              <w:pStyle w:val="BodyText1"/>
              <w:rPr>
                <w:rFonts w:eastAsia="Times New Roman" w:cs="Times New Roman"/>
                <w:color w:val="000000"/>
              </w:rPr>
            </w:pPr>
            <w:r w:rsidRPr="007C7841">
              <w:rPr>
                <w:rFonts w:eastAsia="Times New Roman" w:cs="Times New Roman"/>
                <w:i/>
                <w:color w:val="000000"/>
              </w:rPr>
              <w:t xml:space="preserve">Enter </w:t>
            </w:r>
            <w:r w:rsidR="001642F2">
              <w:rPr>
                <w:rFonts w:eastAsia="Times New Roman" w:cs="Times New Roman"/>
                <w:i/>
                <w:color w:val="000000"/>
              </w:rPr>
              <w:t xml:space="preserve">team decisions/notes </w:t>
            </w:r>
            <w:r w:rsidRPr="007C7841">
              <w:rPr>
                <w:rFonts w:eastAsia="Times New Roman" w:cs="Times New Roman"/>
                <w:i/>
                <w:color w:val="000000"/>
              </w:rPr>
              <w:t>here</w:t>
            </w:r>
          </w:p>
        </w:tc>
        <w:tc>
          <w:tcPr>
            <w:tcW w:w="774" w:type="pct"/>
          </w:tcPr>
          <w:p w14:paraId="3DBF08AD" w14:textId="6BA7F943" w:rsidR="005956DE" w:rsidRPr="00AE595D" w:rsidRDefault="003023A5" w:rsidP="00FB132F">
            <w:pPr>
              <w:pStyle w:val="BodyText1"/>
              <w:rPr>
                <w:rFonts w:eastAsia="Times New Roman" w:cs="Times New Roman"/>
                <w:color w:val="000000"/>
              </w:rPr>
            </w:pPr>
            <w:r>
              <w:rPr>
                <w:rFonts w:eastAsia="Times New Roman" w:cs="Times New Roman"/>
                <w:b/>
                <w:color w:val="000000"/>
              </w:rPr>
              <w:t>Tip</w:t>
            </w:r>
            <w:r w:rsidR="005956DE" w:rsidRPr="00FB132F">
              <w:rPr>
                <w:rFonts w:eastAsia="Times New Roman" w:cs="Times New Roman"/>
                <w:b/>
                <w:color w:val="000000"/>
              </w:rPr>
              <w:t>:</w:t>
            </w:r>
            <w:r w:rsidR="005956DE" w:rsidRPr="00AE595D">
              <w:rPr>
                <w:rFonts w:eastAsia="Times New Roman" w:cs="Times New Roman"/>
                <w:color w:val="000000"/>
              </w:rPr>
              <w:t xml:space="preserve"> Place blanket warmers in prep area and include in order set/policy. Let all know that blanket warmers also increase patient satisfaction</w:t>
            </w:r>
            <w:r w:rsidR="008A4CA8">
              <w:rPr>
                <w:rFonts w:eastAsia="Times New Roman" w:cs="Times New Roman"/>
                <w:color w:val="000000"/>
              </w:rPr>
              <w:t>.</w:t>
            </w:r>
          </w:p>
        </w:tc>
        <w:tc>
          <w:tcPr>
            <w:tcW w:w="971" w:type="pct"/>
          </w:tcPr>
          <w:p w14:paraId="64BCB068" w14:textId="77777777" w:rsidR="005956DE" w:rsidRPr="00AE595D" w:rsidRDefault="002D0AFF" w:rsidP="00FB132F">
            <w:pPr>
              <w:pStyle w:val="BodyText1"/>
              <w:rPr>
                <w:rFonts w:eastAsia="Times New Roman" w:cs="Times New Roman"/>
                <w:color w:val="000000"/>
              </w:rPr>
            </w:pPr>
            <w:r w:rsidRPr="00AE595D">
              <w:rPr>
                <w:rFonts w:eastAsia="Times New Roman" w:cs="Times New Roman"/>
                <w:color w:val="000000"/>
              </w:rPr>
              <w:t>Normothermia</w:t>
            </w:r>
          </w:p>
        </w:tc>
      </w:tr>
    </w:tbl>
    <w:p w14:paraId="6895288B" w14:textId="3F37DC8E" w:rsidR="00F746A8" w:rsidRDefault="001642F2" w:rsidP="009C7C23">
      <w:r w:rsidRPr="00AE595D">
        <w:t>Abbreviations:</w:t>
      </w:r>
      <w:r>
        <w:t xml:space="preserve"> ISCR = Improving Surgical Care and Recovery</w:t>
      </w:r>
    </w:p>
    <w:p w14:paraId="3D4159B4" w14:textId="77777777" w:rsidR="00F746A8" w:rsidRDefault="00F746A8">
      <w:pPr>
        <w:spacing w:after="160" w:line="259" w:lineRule="auto"/>
        <w:ind w:left="360" w:hanging="360"/>
        <w:rPr>
          <w:b/>
          <w:bCs/>
          <w:sz w:val="28"/>
          <w:szCs w:val="28"/>
        </w:rPr>
      </w:pPr>
      <w:r>
        <w:br w:type="page"/>
      </w:r>
    </w:p>
    <w:p w14:paraId="0F1B15E0" w14:textId="77777777" w:rsidR="006A1585" w:rsidRDefault="006A1585">
      <w:pPr>
        <w:pStyle w:val="Heading2"/>
      </w:pPr>
      <w:bookmarkStart w:id="29" w:name="_Toc117000810"/>
      <w:r w:rsidRPr="00AE595D">
        <w:lastRenderedPageBreak/>
        <w:t>Intraoperative</w:t>
      </w:r>
      <w:r w:rsidR="00FB132F" w:rsidRPr="00FB132F">
        <w:t xml:space="preserve"> </w:t>
      </w:r>
      <w:r w:rsidR="00FB132F" w:rsidRPr="00AE595D">
        <w:t>Euvolemia</w:t>
      </w:r>
      <w:bookmarkEnd w:id="29"/>
    </w:p>
    <w:p w14:paraId="1D22F0CB" w14:textId="77777777" w:rsidR="00B15081" w:rsidRDefault="00B15081" w:rsidP="00B15081">
      <w:pPr>
        <w:pStyle w:val="BodyText1"/>
      </w:pPr>
      <w:r>
        <w:t xml:space="preserve">Intraoperative fluid management should be individualized to minimize fluid </w:t>
      </w:r>
      <w:r w:rsidR="009D053A">
        <w:t xml:space="preserve">loss </w:t>
      </w:r>
      <w:r>
        <w:t>and maintain euvolemia.</w:t>
      </w:r>
    </w:p>
    <w:p w14:paraId="607C5AFC" w14:textId="747A9BBB" w:rsidR="00B15081" w:rsidRDefault="00B15081" w:rsidP="00B15081">
      <w:pPr>
        <w:pStyle w:val="Bullet1"/>
      </w:pPr>
      <w:r w:rsidRPr="006C2D73">
        <w:rPr>
          <w:i/>
        </w:rPr>
        <w:t>Considerations for colorectal procedures:</w:t>
      </w:r>
      <w:r>
        <w:t xml:space="preserve"> Goal</w:t>
      </w:r>
      <w:r w:rsidR="00251AF1">
        <w:t>-</w:t>
      </w:r>
      <w:r>
        <w:t>directed fluid therapy may be beneficial in high-risk patients or surgical procedures where there are large fluid shifts, blood loss, or a systemic inflammatory response. Balanced crystalloid solutions are preferred</w:t>
      </w:r>
      <w:r w:rsidR="00B36535">
        <w:t>,</w:t>
      </w:r>
      <w:r>
        <w:t xml:space="preserve"> and albumin supplementation can be considered as needed.</w:t>
      </w:r>
    </w:p>
    <w:p w14:paraId="1DBB5B14" w14:textId="2C9481C3" w:rsidR="00B15081" w:rsidRDefault="00B15081" w:rsidP="00B15081">
      <w:pPr>
        <w:pStyle w:val="Bullet1"/>
      </w:pPr>
      <w:r w:rsidRPr="006C2D73">
        <w:rPr>
          <w:i/>
        </w:rPr>
        <w:t xml:space="preserve">Considerations for </w:t>
      </w:r>
      <w:r w:rsidR="00FD2CFF">
        <w:rPr>
          <w:i/>
        </w:rPr>
        <w:t>hip and knee replacement</w:t>
      </w:r>
      <w:r w:rsidRPr="006C2D73">
        <w:rPr>
          <w:i/>
        </w:rPr>
        <w:t xml:space="preserve"> procedures:</w:t>
      </w:r>
      <w:r>
        <w:t xml:space="preserve"> There is a lack of procedure-specific evidence for the value of goal-directed fluid therapy in elective joint replacement surgeries.</w:t>
      </w:r>
    </w:p>
    <w:p w14:paraId="37A1C676" w14:textId="77777777" w:rsidR="00B15081" w:rsidRDefault="00B15081" w:rsidP="00B15081">
      <w:pPr>
        <w:pStyle w:val="Bullet1"/>
      </w:pPr>
      <w:r w:rsidRPr="006C2D73">
        <w:rPr>
          <w:i/>
        </w:rPr>
        <w:t>Considerations for hip fracture procedures:</w:t>
      </w:r>
      <w:r>
        <w:t xml:space="preserve"> Current evidence does not support use of a specific protocol or advanced hemodynamic monitoring to guide fluid resuscitation beyond usual care.</w:t>
      </w:r>
    </w:p>
    <w:p w14:paraId="54477F8C" w14:textId="5842E26A" w:rsidR="00B15081" w:rsidRDefault="00B15081" w:rsidP="00B15081">
      <w:pPr>
        <w:pStyle w:val="Bullet1"/>
      </w:pPr>
      <w:r w:rsidRPr="006C2D73">
        <w:rPr>
          <w:i/>
        </w:rPr>
        <w:t>Considerations for gynecolog</w:t>
      </w:r>
      <w:r w:rsidR="00251AF1">
        <w:rPr>
          <w:i/>
        </w:rPr>
        <w:t>ic</w:t>
      </w:r>
      <w:r w:rsidRPr="006C2D73">
        <w:rPr>
          <w:i/>
        </w:rPr>
        <w:t xml:space="preserve"> procedures:</w:t>
      </w:r>
      <w:r>
        <w:t xml:space="preserve"> Goal-directed fluid therapy is recommended for high-risk patients (presence of significant comorbidities such as congestive heart failure) or when there is large blood loss.</w:t>
      </w:r>
    </w:p>
    <w:p w14:paraId="55F5002A" w14:textId="3DB8D373" w:rsidR="00B15081" w:rsidRPr="00AE595D" w:rsidRDefault="00B15081" w:rsidP="00B15081">
      <w:pPr>
        <w:pStyle w:val="Bullet1"/>
        <w:rPr>
          <w:b/>
        </w:rPr>
      </w:pPr>
      <w:r w:rsidRPr="006C2D73">
        <w:rPr>
          <w:i/>
        </w:rPr>
        <w:t>Considerations for</w:t>
      </w:r>
      <w:r w:rsidR="00FD2CFF">
        <w:rPr>
          <w:i/>
        </w:rPr>
        <w:t xml:space="preserve"> </w:t>
      </w:r>
      <w:r w:rsidR="00B36535">
        <w:rPr>
          <w:i/>
        </w:rPr>
        <w:t>emergency general surgery (</w:t>
      </w:r>
      <w:r w:rsidR="00FD2CFF">
        <w:rPr>
          <w:i/>
        </w:rPr>
        <w:t>EGS</w:t>
      </w:r>
      <w:r w:rsidR="00B36535">
        <w:rPr>
          <w:i/>
        </w:rPr>
        <w:t>)</w:t>
      </w:r>
      <w:r w:rsidRPr="006C2D73">
        <w:rPr>
          <w:i/>
        </w:rPr>
        <w:t xml:space="preserve"> </w:t>
      </w:r>
      <w:r w:rsidR="00FD2CFF">
        <w:rPr>
          <w:i/>
        </w:rPr>
        <w:t>(</w:t>
      </w:r>
      <w:r w:rsidRPr="006C2D73">
        <w:rPr>
          <w:i/>
        </w:rPr>
        <w:t>major abdominal procedures</w:t>
      </w:r>
      <w:r w:rsidR="00FD2CFF">
        <w:rPr>
          <w:i/>
        </w:rPr>
        <w:t>)</w:t>
      </w:r>
      <w:r w:rsidRPr="006C2D73">
        <w:rPr>
          <w:i/>
        </w:rPr>
        <w:t>:</w:t>
      </w:r>
      <w:r>
        <w:t xml:space="preserve"> Fluid management in the EGS population must consider the clinical status of the patient. Goal-directed fluid therapy may be beneficial in high-risk patients with signs of sepsis and procedures with large fluid shifts or bleeding. Targeting euvolemia in the early postoperative period is a reasonable strategy in appropriate patients without signs of hypovolemia or hypoperfusion. Balanced crystalloid solutions are preferred, such as </w:t>
      </w:r>
      <w:r w:rsidR="002A0AF8">
        <w:t>l</w:t>
      </w:r>
      <w:r>
        <w:t xml:space="preserve">actated </w:t>
      </w:r>
      <w:r w:rsidR="001D2CDC">
        <w:t>R</w:t>
      </w:r>
      <w:r>
        <w:t xml:space="preserve">inger’s or </w:t>
      </w:r>
      <w:r w:rsidR="001D2CDC">
        <w:t>P</w:t>
      </w:r>
      <w:r w:rsidR="002A0AF8">
        <w:t>lasma-</w:t>
      </w:r>
      <w:proofErr w:type="spellStart"/>
      <w:r w:rsidR="001D2CDC">
        <w:t>L</w:t>
      </w:r>
      <w:r w:rsidR="002A0AF8">
        <w:t>yte</w:t>
      </w:r>
      <w:proofErr w:type="spellEnd"/>
      <w:r w:rsidR="001D2CDC">
        <w:t>®</w:t>
      </w:r>
      <w:r>
        <w:t>.</w:t>
      </w:r>
    </w:p>
    <w:tbl>
      <w:tblPr>
        <w:tblStyle w:val="GridTable1Light1"/>
        <w:tblW w:w="5000" w:type="pct"/>
        <w:tblLook w:val="0600" w:firstRow="0" w:lastRow="0" w:firstColumn="0" w:lastColumn="0" w:noHBand="1" w:noVBand="1"/>
      </w:tblPr>
      <w:tblGrid>
        <w:gridCol w:w="1879"/>
        <w:gridCol w:w="1893"/>
        <w:gridCol w:w="7743"/>
        <w:gridCol w:w="3920"/>
        <w:gridCol w:w="3565"/>
        <w:gridCol w:w="4030"/>
      </w:tblGrid>
      <w:tr w:rsidR="004B3D41" w:rsidRPr="00C51607" w14:paraId="7A2E15F2" w14:textId="77777777" w:rsidTr="00F746A8">
        <w:trPr>
          <w:cantSplit/>
          <w:trHeight w:val="973"/>
          <w:tblHeader/>
        </w:trPr>
        <w:tc>
          <w:tcPr>
            <w:tcW w:w="408" w:type="pct"/>
            <w:hideMark/>
          </w:tcPr>
          <w:p w14:paraId="33143116" w14:textId="18F4EEC7" w:rsidR="004B3D41" w:rsidRPr="00C51607" w:rsidRDefault="004B3D41" w:rsidP="00C51607">
            <w:pPr>
              <w:pStyle w:val="TableParagraph"/>
              <w:rPr>
                <w:rStyle w:val="Strong"/>
              </w:rPr>
            </w:pPr>
            <w:r w:rsidRPr="00C51607">
              <w:rPr>
                <w:rStyle w:val="Strong"/>
              </w:rPr>
              <w:t xml:space="preserve">Pathway </w:t>
            </w:r>
          </w:p>
        </w:tc>
        <w:tc>
          <w:tcPr>
            <w:tcW w:w="411" w:type="pct"/>
            <w:hideMark/>
          </w:tcPr>
          <w:p w14:paraId="28ABED10" w14:textId="77777777" w:rsidR="004B3D41" w:rsidRPr="00C51607" w:rsidRDefault="004B3D41" w:rsidP="00C51607">
            <w:pPr>
              <w:pStyle w:val="TableParagraph"/>
              <w:rPr>
                <w:rStyle w:val="Strong"/>
              </w:rPr>
            </w:pPr>
            <w:r w:rsidRPr="00C51607">
              <w:rPr>
                <w:rStyle w:val="Strong"/>
              </w:rPr>
              <w:t>Component</w:t>
            </w:r>
          </w:p>
        </w:tc>
        <w:tc>
          <w:tcPr>
            <w:tcW w:w="1681" w:type="pct"/>
            <w:hideMark/>
          </w:tcPr>
          <w:p w14:paraId="66B25102" w14:textId="5CA956EB" w:rsidR="00494512" w:rsidRDefault="004B3D41" w:rsidP="00C51607">
            <w:pPr>
              <w:pStyle w:val="TableParagraph"/>
              <w:rPr>
                <w:rStyle w:val="Strong"/>
              </w:rPr>
            </w:pPr>
            <w:r w:rsidRPr="00C51607">
              <w:rPr>
                <w:rStyle w:val="Strong"/>
              </w:rPr>
              <w:t xml:space="preserve">Example Processes </w:t>
            </w:r>
            <w:r w:rsidR="00B36535">
              <w:rPr>
                <w:rStyle w:val="Strong"/>
              </w:rPr>
              <w:t>T</w:t>
            </w:r>
            <w:r w:rsidRPr="00C51607">
              <w:rPr>
                <w:rStyle w:val="Strong"/>
              </w:rPr>
              <w:t>o Consider</w:t>
            </w:r>
          </w:p>
          <w:p w14:paraId="61DA9D88" w14:textId="77777777" w:rsidR="004B3D41" w:rsidRPr="00494512" w:rsidRDefault="004B3D41" w:rsidP="00C51607">
            <w:pPr>
              <w:pStyle w:val="TableParagraph"/>
              <w:rPr>
                <w:rStyle w:val="Strong"/>
                <w:b w:val="0"/>
                <w:i/>
              </w:rPr>
            </w:pPr>
            <w:r w:rsidRPr="00494512">
              <w:rPr>
                <w:rStyle w:val="Strong"/>
                <w:b w:val="0"/>
                <w:i/>
              </w:rPr>
              <w:t>As a team, go through each component and discuss what approach best fits your hospital. It may be an option other than what is listed below.</w:t>
            </w:r>
          </w:p>
        </w:tc>
        <w:tc>
          <w:tcPr>
            <w:tcW w:w="851" w:type="pct"/>
            <w:hideMark/>
          </w:tcPr>
          <w:p w14:paraId="1ADA4226" w14:textId="77777777" w:rsidR="004B3D41" w:rsidRPr="00C51607" w:rsidRDefault="004B3D41" w:rsidP="00C51607">
            <w:pPr>
              <w:pStyle w:val="TableParagraph"/>
              <w:rPr>
                <w:rStyle w:val="Strong"/>
              </w:rPr>
            </w:pPr>
            <w:r w:rsidRPr="00C51607">
              <w:rPr>
                <w:rStyle w:val="Strong"/>
              </w:rPr>
              <w:t>Team Decisions/Notes</w:t>
            </w:r>
          </w:p>
          <w:p w14:paraId="42287A2E" w14:textId="77777777" w:rsidR="004B3D41" w:rsidRPr="00494512" w:rsidRDefault="004B3D41" w:rsidP="00C51607">
            <w:pPr>
              <w:pStyle w:val="TableParagraph"/>
              <w:rPr>
                <w:rStyle w:val="Strong"/>
                <w:b w:val="0"/>
                <w:i/>
              </w:rPr>
            </w:pPr>
            <w:r w:rsidRPr="00494512">
              <w:rPr>
                <w:rStyle w:val="Strong"/>
                <w:b w:val="0"/>
                <w:i/>
              </w:rPr>
              <w:t>As a team, note exceptions and contraindications to the treatment or medications.</w:t>
            </w:r>
          </w:p>
        </w:tc>
        <w:tc>
          <w:tcPr>
            <w:tcW w:w="774" w:type="pct"/>
            <w:hideMark/>
          </w:tcPr>
          <w:p w14:paraId="25E41067" w14:textId="0FB702F2" w:rsidR="004B3D41" w:rsidRPr="00C51607" w:rsidRDefault="00AA140E" w:rsidP="00C51607">
            <w:pPr>
              <w:pStyle w:val="TableParagraph"/>
              <w:rPr>
                <w:rStyle w:val="Strong"/>
              </w:rPr>
            </w:pPr>
            <w:r>
              <w:rPr>
                <w:rStyle w:val="Strong"/>
              </w:rPr>
              <w:t xml:space="preserve">Other Available Resources </w:t>
            </w:r>
            <w:r w:rsidR="004A258C">
              <w:rPr>
                <w:rStyle w:val="Strong"/>
              </w:rPr>
              <w:t>and</w:t>
            </w:r>
            <w:r>
              <w:rPr>
                <w:rStyle w:val="Strong"/>
              </w:rPr>
              <w:t xml:space="preserve"> Tips </w:t>
            </w:r>
            <w:r w:rsidR="004A258C">
              <w:rPr>
                <w:rStyle w:val="Strong"/>
              </w:rPr>
              <w:t>T</w:t>
            </w:r>
            <w:r>
              <w:rPr>
                <w:rStyle w:val="Strong"/>
              </w:rPr>
              <w:t>o Consider</w:t>
            </w:r>
          </w:p>
        </w:tc>
        <w:tc>
          <w:tcPr>
            <w:tcW w:w="875" w:type="pct"/>
            <w:hideMark/>
          </w:tcPr>
          <w:p w14:paraId="39560327" w14:textId="77777777" w:rsidR="009F40B9" w:rsidRPr="009F40B9" w:rsidRDefault="009F40B9" w:rsidP="009F40B9">
            <w:pPr>
              <w:pStyle w:val="TableParagraph"/>
              <w:rPr>
                <w:rStyle w:val="Strong"/>
              </w:rPr>
            </w:pPr>
            <w:r w:rsidRPr="009F40B9">
              <w:rPr>
                <w:rStyle w:val="Strong"/>
              </w:rPr>
              <w:t>ISCR Measures</w:t>
            </w:r>
          </w:p>
          <w:p w14:paraId="33C3D0CD" w14:textId="77777777" w:rsidR="004B3D41" w:rsidRPr="00C51607"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27E8B54E" w14:textId="77777777" w:rsidTr="00F746A8">
        <w:trPr>
          <w:cantSplit/>
          <w:trHeight w:val="334"/>
        </w:trPr>
        <w:tc>
          <w:tcPr>
            <w:tcW w:w="408" w:type="pct"/>
            <w:hideMark/>
          </w:tcPr>
          <w:p w14:paraId="550CDE12" w14:textId="77777777" w:rsidR="005956DE" w:rsidRPr="00494512" w:rsidRDefault="006F533C" w:rsidP="00C51607">
            <w:pPr>
              <w:pStyle w:val="TableParagraph"/>
              <w:rPr>
                <w:b/>
              </w:rPr>
            </w:pPr>
            <w:r w:rsidRPr="00494512">
              <w:rPr>
                <w:b/>
              </w:rPr>
              <w:t>All ISCR Pathways</w:t>
            </w:r>
          </w:p>
        </w:tc>
        <w:tc>
          <w:tcPr>
            <w:tcW w:w="411" w:type="pct"/>
          </w:tcPr>
          <w:p w14:paraId="69B04DCD" w14:textId="77777777" w:rsidR="005956DE" w:rsidRPr="00AE595D" w:rsidRDefault="005956DE" w:rsidP="00C51607">
            <w:pPr>
              <w:pStyle w:val="TableParagraph"/>
              <w:rPr>
                <w:b/>
                <w:bCs/>
              </w:rPr>
            </w:pPr>
            <w:r w:rsidRPr="00AE595D">
              <w:rPr>
                <w:b/>
                <w:bCs/>
              </w:rPr>
              <w:t>Euvolemia</w:t>
            </w:r>
          </w:p>
        </w:tc>
        <w:tc>
          <w:tcPr>
            <w:tcW w:w="1681" w:type="pct"/>
          </w:tcPr>
          <w:p w14:paraId="2BA59594" w14:textId="77777777" w:rsidR="005956DE" w:rsidRPr="00526834" w:rsidRDefault="005956DE" w:rsidP="00494512">
            <w:pPr>
              <w:pStyle w:val="TableParagraph"/>
              <w:spacing w:after="120" w:line="240" w:lineRule="auto"/>
              <w:rPr>
                <w:rFonts w:eastAsia="Times New Roman" w:cs="Times New Roman"/>
                <w:b/>
                <w:color w:val="000000"/>
              </w:rPr>
            </w:pPr>
            <w:r w:rsidRPr="00526834">
              <w:rPr>
                <w:rFonts w:eastAsia="Times New Roman" w:cs="Times New Roman"/>
                <w:b/>
                <w:color w:val="000000"/>
              </w:rPr>
              <w:t>Recommended approach:</w:t>
            </w:r>
          </w:p>
          <w:p w14:paraId="0A681C05" w14:textId="77777777" w:rsidR="005956DE" w:rsidRPr="00AE595D" w:rsidRDefault="005956DE" w:rsidP="00C51607">
            <w:pPr>
              <w:pStyle w:val="Bullet1"/>
            </w:pPr>
            <w:r w:rsidRPr="00AE595D">
              <w:t>Intraoperative fluid management should be individualized to minimize fluid and maintain euvolemia</w:t>
            </w:r>
          </w:p>
          <w:p w14:paraId="5707A9B5" w14:textId="7CE82BA8" w:rsidR="0000376A" w:rsidRPr="00AE595D" w:rsidRDefault="0000376A" w:rsidP="00C51607">
            <w:pPr>
              <w:pStyle w:val="Bullet1"/>
            </w:pPr>
            <w:r w:rsidRPr="00AE595D">
              <w:t xml:space="preserve">Fluid composition should be a balanced crystalloid solution such as </w:t>
            </w:r>
            <w:r w:rsidR="00D9584B">
              <w:t>l</w:t>
            </w:r>
            <w:r w:rsidR="00D9584B" w:rsidRPr="00AE595D">
              <w:t xml:space="preserve">actated </w:t>
            </w:r>
            <w:r w:rsidR="00E9093A">
              <w:t>R</w:t>
            </w:r>
            <w:r w:rsidR="00D9584B" w:rsidRPr="00AE595D">
              <w:t xml:space="preserve">inger’s </w:t>
            </w:r>
            <w:r w:rsidRPr="00AE595D">
              <w:t xml:space="preserve">or </w:t>
            </w:r>
            <w:r w:rsidR="001F5335">
              <w:t>P</w:t>
            </w:r>
            <w:r w:rsidR="00D9584B" w:rsidRPr="00AE595D">
              <w:t>lasma</w:t>
            </w:r>
            <w:r w:rsidRPr="00AE595D">
              <w:t>-</w:t>
            </w:r>
            <w:proofErr w:type="spellStart"/>
            <w:r w:rsidR="001F5335">
              <w:t>L</w:t>
            </w:r>
            <w:r w:rsidRPr="00AE595D">
              <w:t>yte</w:t>
            </w:r>
            <w:proofErr w:type="spellEnd"/>
            <w:r w:rsidR="001F5335">
              <w:t>®</w:t>
            </w:r>
          </w:p>
          <w:p w14:paraId="5C065FF1" w14:textId="77777777" w:rsidR="005956DE" w:rsidRPr="00AE595D" w:rsidRDefault="0000376A" w:rsidP="00C51607">
            <w:pPr>
              <w:pStyle w:val="Bullet1"/>
              <w:rPr>
                <w:rFonts w:eastAsia="Times New Roman" w:cs="Times New Roman"/>
                <w:color w:val="000000"/>
              </w:rPr>
            </w:pPr>
            <w:r w:rsidRPr="00AE595D">
              <w:t>Patients with sepsis may benefit from a goal-directed fluid approach</w:t>
            </w:r>
          </w:p>
        </w:tc>
        <w:tc>
          <w:tcPr>
            <w:tcW w:w="851" w:type="pct"/>
          </w:tcPr>
          <w:p w14:paraId="7B9B7C8F" w14:textId="78D4F5B5" w:rsidR="005956DE" w:rsidRPr="00AE595D" w:rsidRDefault="00C2156C" w:rsidP="00C51607">
            <w:pPr>
              <w:pStyle w:val="TableParagraph"/>
              <w:rPr>
                <w:rFonts w:eastAsia="Times New Roman" w:cs="Times New Roman"/>
                <w:color w:val="000000"/>
              </w:rPr>
            </w:pPr>
            <w:r w:rsidRPr="007C7841">
              <w:rPr>
                <w:rFonts w:eastAsia="Times New Roman" w:cs="Times New Roman"/>
                <w:i/>
                <w:color w:val="000000"/>
              </w:rPr>
              <w:t xml:space="preserve">Enter </w:t>
            </w:r>
            <w:r w:rsidR="004A258C">
              <w:rPr>
                <w:rFonts w:eastAsia="Times New Roman" w:cs="Times New Roman"/>
                <w:i/>
                <w:color w:val="000000"/>
              </w:rPr>
              <w:t xml:space="preserve">team decisions/notes </w:t>
            </w:r>
            <w:r w:rsidRPr="007C7841">
              <w:rPr>
                <w:rFonts w:eastAsia="Times New Roman" w:cs="Times New Roman"/>
                <w:i/>
                <w:color w:val="000000"/>
              </w:rPr>
              <w:t>here</w:t>
            </w:r>
          </w:p>
        </w:tc>
        <w:tc>
          <w:tcPr>
            <w:tcW w:w="774" w:type="pct"/>
          </w:tcPr>
          <w:p w14:paraId="17067C41" w14:textId="204B65D1" w:rsidR="005956DE" w:rsidRPr="00AE595D" w:rsidRDefault="00D033DE" w:rsidP="00C51607">
            <w:pPr>
              <w:pStyle w:val="TableParagraph"/>
              <w:rPr>
                <w:rFonts w:eastAsia="Times New Roman" w:cs="Times New Roman"/>
                <w:color w:val="000000"/>
              </w:rPr>
            </w:pPr>
            <w:r w:rsidRPr="00D033DE">
              <w:rPr>
                <w:rFonts w:eastAsia="Times New Roman" w:cs="Times New Roman"/>
                <w:i/>
                <w:color w:val="000000"/>
              </w:rPr>
              <w:t>Enter any additional resources and tips recommended by your ISCR team here.</w:t>
            </w:r>
          </w:p>
        </w:tc>
        <w:tc>
          <w:tcPr>
            <w:tcW w:w="875" w:type="pct"/>
          </w:tcPr>
          <w:p w14:paraId="6ED9784B" w14:textId="150EB582" w:rsidR="005956DE" w:rsidRPr="00D033DE" w:rsidRDefault="00D033DE" w:rsidP="00C51607">
            <w:pPr>
              <w:pStyle w:val="TableParagraph"/>
              <w:rPr>
                <w:rFonts w:eastAsia="Times New Roman" w:cs="Times New Roman"/>
                <w:i/>
                <w:color w:val="000000"/>
              </w:rPr>
            </w:pPr>
            <w:r w:rsidRPr="00D033DE">
              <w:rPr>
                <w:rFonts w:eastAsia="Times New Roman" w:cs="Times New Roman"/>
                <w:i/>
                <w:color w:val="000000"/>
              </w:rPr>
              <w:t xml:space="preserve">Enter </w:t>
            </w:r>
            <w:r w:rsidR="004A258C">
              <w:rPr>
                <w:rFonts w:eastAsia="Times New Roman" w:cs="Times New Roman"/>
                <w:i/>
                <w:color w:val="000000"/>
              </w:rPr>
              <w:t xml:space="preserve">ISCR measures </w:t>
            </w:r>
            <w:r w:rsidRPr="00D033DE">
              <w:rPr>
                <w:rFonts w:eastAsia="Times New Roman" w:cs="Times New Roman"/>
                <w:i/>
                <w:color w:val="000000"/>
              </w:rPr>
              <w:t>here</w:t>
            </w:r>
          </w:p>
        </w:tc>
      </w:tr>
    </w:tbl>
    <w:p w14:paraId="2AA066D6" w14:textId="77777777" w:rsidR="004A258C" w:rsidRDefault="004A258C" w:rsidP="004A258C">
      <w:r w:rsidRPr="00AE595D">
        <w:t>Abbreviations:</w:t>
      </w:r>
      <w:r>
        <w:t xml:space="preserve"> ISCR = Improving Surgical Care and Recovery</w:t>
      </w:r>
    </w:p>
    <w:p w14:paraId="25804615" w14:textId="77777777" w:rsidR="00C44C41" w:rsidRPr="00AE595D" w:rsidRDefault="00C44C41" w:rsidP="00AE595D">
      <w:pPr>
        <w:spacing w:after="120" w:line="240" w:lineRule="auto"/>
        <w:rPr>
          <w:b/>
        </w:rPr>
      </w:pPr>
    </w:p>
    <w:p w14:paraId="450D57D0" w14:textId="77777777" w:rsidR="00014742" w:rsidRDefault="00014742">
      <w:pPr>
        <w:spacing w:after="160" w:line="259" w:lineRule="auto"/>
        <w:ind w:left="360" w:hanging="360"/>
        <w:rPr>
          <w:b/>
          <w:bCs/>
          <w:sz w:val="28"/>
          <w:szCs w:val="28"/>
        </w:rPr>
      </w:pPr>
      <w:r>
        <w:br w:type="page"/>
      </w:r>
    </w:p>
    <w:p w14:paraId="2BEEABA4" w14:textId="77777777" w:rsidR="00C44C41" w:rsidRPr="00AE595D" w:rsidRDefault="00C44C41">
      <w:pPr>
        <w:pStyle w:val="Heading2"/>
      </w:pPr>
      <w:bookmarkStart w:id="30" w:name="_Toc117000811"/>
      <w:r w:rsidRPr="00AE595D">
        <w:lastRenderedPageBreak/>
        <w:t>Intraoperative</w:t>
      </w:r>
      <w:r w:rsidR="00C51607">
        <w:t xml:space="preserve"> </w:t>
      </w:r>
      <w:r w:rsidR="00C51607" w:rsidRPr="00C51607">
        <w:t>Wound Protector Use</w:t>
      </w:r>
      <w:bookmarkEnd w:id="30"/>
    </w:p>
    <w:tbl>
      <w:tblPr>
        <w:tblStyle w:val="GridTable1Light1"/>
        <w:tblW w:w="5000" w:type="pct"/>
        <w:tblLook w:val="0600" w:firstRow="0" w:lastRow="0" w:firstColumn="0" w:lastColumn="0" w:noHBand="1" w:noVBand="1"/>
      </w:tblPr>
      <w:tblGrid>
        <w:gridCol w:w="1879"/>
        <w:gridCol w:w="1893"/>
        <w:gridCol w:w="7743"/>
        <w:gridCol w:w="3920"/>
        <w:gridCol w:w="3565"/>
        <w:gridCol w:w="4030"/>
      </w:tblGrid>
      <w:tr w:rsidR="00C44C41" w:rsidRPr="00C51607" w14:paraId="0512ADEE" w14:textId="77777777" w:rsidTr="00F746A8">
        <w:trPr>
          <w:cantSplit/>
          <w:trHeight w:val="973"/>
          <w:tblHeader/>
        </w:trPr>
        <w:tc>
          <w:tcPr>
            <w:tcW w:w="408" w:type="pct"/>
            <w:hideMark/>
          </w:tcPr>
          <w:p w14:paraId="7E3B8DB0" w14:textId="30693931" w:rsidR="00C44C41" w:rsidRPr="00C51607" w:rsidRDefault="00C44C41" w:rsidP="00C51607">
            <w:pPr>
              <w:pStyle w:val="TableParagraph"/>
              <w:rPr>
                <w:rStyle w:val="Strong"/>
              </w:rPr>
            </w:pPr>
            <w:r w:rsidRPr="00C51607">
              <w:rPr>
                <w:rStyle w:val="Strong"/>
              </w:rPr>
              <w:t xml:space="preserve">Pathway </w:t>
            </w:r>
          </w:p>
        </w:tc>
        <w:tc>
          <w:tcPr>
            <w:tcW w:w="411" w:type="pct"/>
            <w:hideMark/>
          </w:tcPr>
          <w:p w14:paraId="4DB79458" w14:textId="77777777" w:rsidR="00C44C41" w:rsidRPr="00C51607" w:rsidRDefault="00C44C41" w:rsidP="00C51607">
            <w:pPr>
              <w:pStyle w:val="TableParagraph"/>
              <w:rPr>
                <w:rStyle w:val="Strong"/>
              </w:rPr>
            </w:pPr>
            <w:r w:rsidRPr="00C51607">
              <w:rPr>
                <w:rStyle w:val="Strong"/>
              </w:rPr>
              <w:t>Component</w:t>
            </w:r>
          </w:p>
        </w:tc>
        <w:tc>
          <w:tcPr>
            <w:tcW w:w="1681" w:type="pct"/>
            <w:hideMark/>
          </w:tcPr>
          <w:p w14:paraId="16C2D41B" w14:textId="71DFC2CA" w:rsidR="00494512" w:rsidRDefault="00C44C41" w:rsidP="00C51607">
            <w:pPr>
              <w:pStyle w:val="TableParagraph"/>
              <w:rPr>
                <w:rStyle w:val="Strong"/>
              </w:rPr>
            </w:pPr>
            <w:r w:rsidRPr="00C51607">
              <w:rPr>
                <w:rStyle w:val="Strong"/>
              </w:rPr>
              <w:t xml:space="preserve">Example Processes </w:t>
            </w:r>
            <w:r w:rsidR="004A258C">
              <w:rPr>
                <w:rStyle w:val="Strong"/>
              </w:rPr>
              <w:t>T</w:t>
            </w:r>
            <w:r w:rsidRPr="00C51607">
              <w:rPr>
                <w:rStyle w:val="Strong"/>
              </w:rPr>
              <w:t>o Consider</w:t>
            </w:r>
          </w:p>
          <w:p w14:paraId="4B4FC502" w14:textId="77777777" w:rsidR="00C44C41" w:rsidRPr="00C51607" w:rsidRDefault="00C44C41" w:rsidP="00C51607">
            <w:pPr>
              <w:pStyle w:val="TableParagraph"/>
              <w:rPr>
                <w:rStyle w:val="Strong"/>
              </w:rPr>
            </w:pPr>
            <w:r w:rsidRPr="00494512">
              <w:rPr>
                <w:rStyle w:val="Strong"/>
                <w:b w:val="0"/>
                <w:i/>
              </w:rPr>
              <w:t>As a team, go through each component and discuss what approach best fits your hospital. It may be an option other than what is listed below.</w:t>
            </w:r>
          </w:p>
        </w:tc>
        <w:tc>
          <w:tcPr>
            <w:tcW w:w="851" w:type="pct"/>
            <w:hideMark/>
          </w:tcPr>
          <w:p w14:paraId="4E45B637" w14:textId="77777777" w:rsidR="00C44C41" w:rsidRPr="00C51607" w:rsidRDefault="00C44C41" w:rsidP="00C51607">
            <w:pPr>
              <w:pStyle w:val="TableParagraph"/>
              <w:rPr>
                <w:rStyle w:val="Strong"/>
              </w:rPr>
            </w:pPr>
            <w:r w:rsidRPr="00C51607">
              <w:rPr>
                <w:rStyle w:val="Strong"/>
              </w:rPr>
              <w:t>Team Decisions/Notes</w:t>
            </w:r>
          </w:p>
          <w:p w14:paraId="636C49AC" w14:textId="77777777" w:rsidR="00C44C41" w:rsidRPr="00494512" w:rsidRDefault="00C44C41" w:rsidP="00C51607">
            <w:pPr>
              <w:pStyle w:val="TableParagraph"/>
              <w:rPr>
                <w:rStyle w:val="Strong"/>
                <w:b w:val="0"/>
                <w:i/>
              </w:rPr>
            </w:pPr>
            <w:r w:rsidRPr="00494512">
              <w:rPr>
                <w:rStyle w:val="Strong"/>
                <w:b w:val="0"/>
                <w:i/>
              </w:rPr>
              <w:t>As a team, note exceptions and contraindications to the treatment or medications.</w:t>
            </w:r>
          </w:p>
        </w:tc>
        <w:tc>
          <w:tcPr>
            <w:tcW w:w="774" w:type="pct"/>
            <w:hideMark/>
          </w:tcPr>
          <w:p w14:paraId="4C5348B0" w14:textId="3E72F5B5" w:rsidR="00C44C41" w:rsidRPr="00C51607" w:rsidRDefault="00AA140E" w:rsidP="00C51607">
            <w:pPr>
              <w:pStyle w:val="TableParagraph"/>
              <w:rPr>
                <w:rStyle w:val="Strong"/>
              </w:rPr>
            </w:pPr>
            <w:r>
              <w:rPr>
                <w:rStyle w:val="Strong"/>
              </w:rPr>
              <w:t xml:space="preserve">Other Available Resources </w:t>
            </w:r>
            <w:r w:rsidR="004A258C">
              <w:rPr>
                <w:rStyle w:val="Strong"/>
              </w:rPr>
              <w:t>and</w:t>
            </w:r>
            <w:r>
              <w:rPr>
                <w:rStyle w:val="Strong"/>
              </w:rPr>
              <w:t xml:space="preserve"> Tips </w:t>
            </w:r>
            <w:r w:rsidR="004A258C">
              <w:rPr>
                <w:rStyle w:val="Strong"/>
              </w:rPr>
              <w:t>T</w:t>
            </w:r>
            <w:r>
              <w:rPr>
                <w:rStyle w:val="Strong"/>
              </w:rPr>
              <w:t>o Consider</w:t>
            </w:r>
          </w:p>
        </w:tc>
        <w:tc>
          <w:tcPr>
            <w:tcW w:w="875" w:type="pct"/>
            <w:hideMark/>
          </w:tcPr>
          <w:p w14:paraId="321875C9" w14:textId="77777777" w:rsidR="009F40B9" w:rsidRPr="009F40B9" w:rsidRDefault="009F40B9" w:rsidP="009F40B9">
            <w:pPr>
              <w:pStyle w:val="TableParagraph"/>
              <w:rPr>
                <w:rStyle w:val="Strong"/>
              </w:rPr>
            </w:pPr>
            <w:r w:rsidRPr="009F40B9">
              <w:rPr>
                <w:rStyle w:val="Strong"/>
              </w:rPr>
              <w:t>ISCR Measures</w:t>
            </w:r>
          </w:p>
          <w:p w14:paraId="6F6B5E6F" w14:textId="77777777" w:rsidR="00C44C41" w:rsidRPr="00C51607"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C44C41" w:rsidRPr="00AE595D" w14:paraId="279AF0D4" w14:textId="77777777" w:rsidTr="00F746A8">
        <w:trPr>
          <w:cantSplit/>
          <w:trHeight w:val="334"/>
        </w:trPr>
        <w:tc>
          <w:tcPr>
            <w:tcW w:w="408" w:type="pct"/>
            <w:hideMark/>
          </w:tcPr>
          <w:p w14:paraId="38A742A0" w14:textId="77777777" w:rsidR="00C44C41" w:rsidRPr="00494512" w:rsidRDefault="00AD23D9" w:rsidP="00C51607">
            <w:pPr>
              <w:pStyle w:val="TableParagraph"/>
              <w:rPr>
                <w:b/>
              </w:rPr>
            </w:pPr>
            <w:r>
              <w:rPr>
                <w:b/>
              </w:rPr>
              <w:t>All ISCR Pathways</w:t>
            </w:r>
          </w:p>
        </w:tc>
        <w:tc>
          <w:tcPr>
            <w:tcW w:w="411" w:type="pct"/>
          </w:tcPr>
          <w:p w14:paraId="03B3D2B0" w14:textId="77777777" w:rsidR="00C44C41" w:rsidRPr="00494512" w:rsidRDefault="00C44C41" w:rsidP="00C51607">
            <w:pPr>
              <w:pStyle w:val="TableParagraph"/>
              <w:rPr>
                <w:b/>
              </w:rPr>
            </w:pPr>
            <w:r w:rsidRPr="00494512">
              <w:rPr>
                <w:b/>
              </w:rPr>
              <w:t>Wound Protector Use</w:t>
            </w:r>
          </w:p>
        </w:tc>
        <w:tc>
          <w:tcPr>
            <w:tcW w:w="1681" w:type="pct"/>
          </w:tcPr>
          <w:p w14:paraId="24A66642" w14:textId="77777777" w:rsidR="00C44C41" w:rsidRPr="00494512" w:rsidRDefault="00C44C41" w:rsidP="00494512">
            <w:pPr>
              <w:pStyle w:val="TableParagraph"/>
              <w:spacing w:after="120" w:line="240" w:lineRule="auto"/>
              <w:rPr>
                <w:rFonts w:eastAsia="Times New Roman" w:cs="Times New Roman"/>
                <w:b/>
                <w:color w:val="000000"/>
              </w:rPr>
            </w:pPr>
            <w:r w:rsidRPr="00494512">
              <w:rPr>
                <w:rFonts w:eastAsia="Times New Roman" w:cs="Times New Roman"/>
                <w:b/>
                <w:color w:val="000000"/>
              </w:rPr>
              <w:t>Recommended approach:</w:t>
            </w:r>
          </w:p>
          <w:p w14:paraId="1EADADEC" w14:textId="77777777" w:rsidR="00C44C41" w:rsidRPr="00AE595D" w:rsidRDefault="00C44C41" w:rsidP="00C51607">
            <w:pPr>
              <w:pStyle w:val="Bullet1"/>
            </w:pPr>
            <w:r w:rsidRPr="00AE595D">
              <w:t xml:space="preserve">Wound protectors are recommended for all </w:t>
            </w:r>
            <w:r w:rsidRPr="009C15D7">
              <w:rPr>
                <w:b/>
              </w:rPr>
              <w:t>open</w:t>
            </w:r>
            <w:r w:rsidRPr="00AE595D">
              <w:t xml:space="preserve"> procedures</w:t>
            </w:r>
          </w:p>
          <w:p w14:paraId="07F5F634" w14:textId="77777777" w:rsidR="00C44C41" w:rsidRPr="00AE595D" w:rsidRDefault="00C44C41" w:rsidP="00C51607">
            <w:pPr>
              <w:pStyle w:val="TableParagraph"/>
              <w:rPr>
                <w:rFonts w:eastAsia="Times New Roman" w:cs="Times New Roman"/>
                <w:color w:val="000000"/>
              </w:rPr>
            </w:pPr>
          </w:p>
        </w:tc>
        <w:tc>
          <w:tcPr>
            <w:tcW w:w="851" w:type="pct"/>
          </w:tcPr>
          <w:p w14:paraId="01F2D69A" w14:textId="18BA717D" w:rsidR="00C44C41" w:rsidRPr="00AE595D" w:rsidRDefault="00C2156C" w:rsidP="00C51607">
            <w:pPr>
              <w:pStyle w:val="TableParagraph"/>
              <w:rPr>
                <w:rFonts w:eastAsia="Times New Roman" w:cs="Times New Roman"/>
                <w:color w:val="000000"/>
              </w:rPr>
            </w:pPr>
            <w:r w:rsidRPr="007C7841">
              <w:rPr>
                <w:rFonts w:eastAsia="Times New Roman" w:cs="Times New Roman"/>
                <w:i/>
                <w:color w:val="000000"/>
              </w:rPr>
              <w:t xml:space="preserve">Enter </w:t>
            </w:r>
            <w:r w:rsidR="004A258C">
              <w:rPr>
                <w:rFonts w:eastAsia="Times New Roman" w:cs="Times New Roman"/>
                <w:i/>
                <w:color w:val="000000"/>
              </w:rPr>
              <w:t xml:space="preserve">team decisions/notes </w:t>
            </w:r>
            <w:r w:rsidRPr="007C7841">
              <w:rPr>
                <w:rFonts w:eastAsia="Times New Roman" w:cs="Times New Roman"/>
                <w:i/>
                <w:color w:val="000000"/>
              </w:rPr>
              <w:t>here</w:t>
            </w:r>
          </w:p>
        </w:tc>
        <w:tc>
          <w:tcPr>
            <w:tcW w:w="774" w:type="pct"/>
          </w:tcPr>
          <w:p w14:paraId="5C1F7DC7" w14:textId="28FB41A7" w:rsidR="00C44C41" w:rsidRPr="00AE595D" w:rsidRDefault="00CB6C14" w:rsidP="00C51607">
            <w:pPr>
              <w:pStyle w:val="TableParagraph"/>
              <w:rPr>
                <w:rFonts w:eastAsia="Times New Roman" w:cs="Times New Roman"/>
                <w:color w:val="000000"/>
              </w:rPr>
            </w:pPr>
            <w:r w:rsidRPr="00CB6C14">
              <w:rPr>
                <w:rFonts w:eastAsia="Times New Roman" w:cs="Times New Roman"/>
                <w:i/>
                <w:color w:val="000000"/>
              </w:rPr>
              <w:t>Enter any additional resources and tips recommended by your ISCR team here.</w:t>
            </w:r>
          </w:p>
        </w:tc>
        <w:tc>
          <w:tcPr>
            <w:tcW w:w="875" w:type="pct"/>
          </w:tcPr>
          <w:p w14:paraId="3F291F1A" w14:textId="594DAB27" w:rsidR="00C44C41" w:rsidRPr="00CB6C14" w:rsidRDefault="00CB6C14" w:rsidP="00C51607">
            <w:pPr>
              <w:pStyle w:val="TableParagraph"/>
              <w:rPr>
                <w:rFonts w:eastAsia="Times New Roman" w:cs="Times New Roman"/>
                <w:i/>
                <w:color w:val="000000"/>
              </w:rPr>
            </w:pPr>
            <w:r w:rsidRPr="00CB6C14">
              <w:rPr>
                <w:rFonts w:eastAsia="Times New Roman" w:cs="Times New Roman"/>
                <w:i/>
                <w:color w:val="000000"/>
              </w:rPr>
              <w:t xml:space="preserve">Enter </w:t>
            </w:r>
            <w:r w:rsidR="004A258C">
              <w:rPr>
                <w:rFonts w:eastAsia="Times New Roman" w:cs="Times New Roman"/>
                <w:i/>
                <w:color w:val="000000"/>
              </w:rPr>
              <w:t xml:space="preserve">ISCR measures </w:t>
            </w:r>
            <w:r w:rsidRPr="00CB6C14">
              <w:rPr>
                <w:rFonts w:eastAsia="Times New Roman" w:cs="Times New Roman"/>
                <w:i/>
                <w:color w:val="000000"/>
              </w:rPr>
              <w:t>here</w:t>
            </w:r>
          </w:p>
        </w:tc>
      </w:tr>
    </w:tbl>
    <w:p w14:paraId="6695F469" w14:textId="77777777" w:rsidR="004A258C" w:rsidRDefault="004A258C" w:rsidP="004A258C">
      <w:r w:rsidRPr="00AE595D">
        <w:t>Abbreviations:</w:t>
      </w:r>
      <w:r>
        <w:t xml:space="preserve"> ISCR = Improving Surgical Care and Recovery</w:t>
      </w:r>
    </w:p>
    <w:p w14:paraId="7E15BA52" w14:textId="77777777" w:rsidR="00C44C41" w:rsidRPr="00AE595D" w:rsidRDefault="00C44C41" w:rsidP="00AE595D">
      <w:pPr>
        <w:spacing w:after="120" w:line="240" w:lineRule="auto"/>
        <w:rPr>
          <w:b/>
        </w:rPr>
      </w:pPr>
    </w:p>
    <w:p w14:paraId="2299DCAB" w14:textId="77777777" w:rsidR="00EC3092" w:rsidRDefault="00EC3092">
      <w:pPr>
        <w:spacing w:after="160" w:line="259" w:lineRule="auto"/>
        <w:ind w:left="360" w:hanging="360"/>
        <w:rPr>
          <w:b/>
          <w:bCs/>
          <w:sz w:val="28"/>
          <w:szCs w:val="28"/>
        </w:rPr>
      </w:pPr>
      <w:bookmarkStart w:id="31" w:name="_Hlk111213005"/>
      <w:r>
        <w:br w:type="page"/>
      </w:r>
    </w:p>
    <w:p w14:paraId="03B34FC9" w14:textId="77777777" w:rsidR="006A1585" w:rsidRDefault="006A1585">
      <w:pPr>
        <w:pStyle w:val="Heading2"/>
      </w:pPr>
      <w:bookmarkStart w:id="32" w:name="_Toc117000812"/>
      <w:r w:rsidRPr="00AE595D">
        <w:lastRenderedPageBreak/>
        <w:t>Intraoperative</w:t>
      </w:r>
      <w:r w:rsidR="00C51607">
        <w:t xml:space="preserve"> Avoidance of Tubes and Drains</w:t>
      </w:r>
      <w:bookmarkEnd w:id="32"/>
    </w:p>
    <w:p w14:paraId="11088653" w14:textId="77777777" w:rsidR="00C51607" w:rsidRPr="00C51607" w:rsidRDefault="00C51607" w:rsidP="00C51607">
      <w:pPr>
        <w:pStyle w:val="BodyText1"/>
      </w:pPr>
      <w:r w:rsidRPr="00C51607">
        <w:t xml:space="preserve">Routine use of nasogastric tubes or surgical drains is not recommended.  </w:t>
      </w:r>
    </w:p>
    <w:p w14:paraId="0F15C964" w14:textId="6D73A60B" w:rsidR="00C51607" w:rsidRPr="00C51607" w:rsidRDefault="00C51607" w:rsidP="00C51607">
      <w:pPr>
        <w:pStyle w:val="Bullet1"/>
      </w:pPr>
      <w:r w:rsidRPr="006C2D73">
        <w:rPr>
          <w:i/>
        </w:rPr>
        <w:t xml:space="preserve">Considerations for colorectal procedures: </w:t>
      </w:r>
      <w:r w:rsidRPr="00C51607">
        <w:t>The role of pelvic drainage after rectal anastomoses remains uncertain and should be patient specific</w:t>
      </w:r>
      <w:r w:rsidR="00B80261">
        <w:t>.</w:t>
      </w:r>
    </w:p>
    <w:p w14:paraId="51DBAD63" w14:textId="08B5D6E8" w:rsidR="00C51607" w:rsidRPr="00C51607" w:rsidRDefault="00C51607" w:rsidP="00C51607">
      <w:pPr>
        <w:pStyle w:val="Bullet1"/>
      </w:pPr>
      <w:r w:rsidRPr="006C2D73">
        <w:rPr>
          <w:i/>
        </w:rPr>
        <w:t xml:space="preserve">Considerations for </w:t>
      </w:r>
      <w:r w:rsidR="00D7245F">
        <w:rPr>
          <w:i/>
        </w:rPr>
        <w:t>gynecologic</w:t>
      </w:r>
      <w:r w:rsidRPr="006C2D73">
        <w:rPr>
          <w:i/>
        </w:rPr>
        <w:t xml:space="preserve"> procedures:</w:t>
      </w:r>
      <w:r w:rsidRPr="00C51607">
        <w:t xml:space="preserve"> If nasogastric tube is used intraoperatively, remove at time of extubation. Peritoneal or retroperitoneal drains may be used if there is a rectal anastomosis within 6 cm from anal verge or the patient is high risk for postoperative pelvic collections</w:t>
      </w:r>
      <w:r w:rsidR="00B80261">
        <w:t>.</w:t>
      </w:r>
    </w:p>
    <w:p w14:paraId="7397814F" w14:textId="7D75BB03" w:rsidR="00C51607" w:rsidRPr="00AE595D" w:rsidRDefault="00C51607" w:rsidP="00C51607">
      <w:pPr>
        <w:pStyle w:val="Bullet1"/>
      </w:pPr>
      <w:r w:rsidRPr="006C2D73">
        <w:rPr>
          <w:i/>
        </w:rPr>
        <w:t xml:space="preserve">Considerations for </w:t>
      </w:r>
      <w:r w:rsidR="00B80261">
        <w:rPr>
          <w:i/>
        </w:rPr>
        <w:t>emergency general surgery</w:t>
      </w:r>
      <w:r w:rsidR="004E7650">
        <w:rPr>
          <w:i/>
        </w:rPr>
        <w:t xml:space="preserve"> (</w:t>
      </w:r>
      <w:r w:rsidR="00EA34A5">
        <w:rPr>
          <w:i/>
        </w:rPr>
        <w:t>EGS</w:t>
      </w:r>
      <w:r w:rsidR="004E7650">
        <w:rPr>
          <w:i/>
        </w:rPr>
        <w:t>)</w:t>
      </w:r>
      <w:r w:rsidR="00EA34A5">
        <w:rPr>
          <w:i/>
        </w:rPr>
        <w:t xml:space="preserve"> (</w:t>
      </w:r>
      <w:r w:rsidRPr="006C2D73">
        <w:rPr>
          <w:i/>
        </w:rPr>
        <w:t>major abdominal procedures</w:t>
      </w:r>
      <w:r w:rsidR="00EA34A5">
        <w:rPr>
          <w:i/>
        </w:rPr>
        <w:t>)</w:t>
      </w:r>
      <w:r w:rsidRPr="006C2D73">
        <w:rPr>
          <w:i/>
        </w:rPr>
        <w:t>:</w:t>
      </w:r>
      <w:r w:rsidRPr="00C51607">
        <w:t xml:space="preserve"> Nasogastric tubes may be used in situations where prolonged preoperative ileus is anticipated or it is necessary to divert gastric contents</w:t>
      </w:r>
      <w:r w:rsidR="00B80261">
        <w:t>.</w:t>
      </w:r>
    </w:p>
    <w:tbl>
      <w:tblPr>
        <w:tblStyle w:val="GridTable1Light1"/>
        <w:tblW w:w="5000" w:type="pct"/>
        <w:tblLook w:val="0600" w:firstRow="0" w:lastRow="0" w:firstColumn="0" w:lastColumn="0" w:noHBand="1" w:noVBand="1"/>
      </w:tblPr>
      <w:tblGrid>
        <w:gridCol w:w="1830"/>
        <w:gridCol w:w="2129"/>
        <w:gridCol w:w="7914"/>
        <w:gridCol w:w="3474"/>
        <w:gridCol w:w="3832"/>
        <w:gridCol w:w="3851"/>
      </w:tblGrid>
      <w:tr w:rsidR="004B3D41" w:rsidRPr="00C51607" w14:paraId="6FCA78C4" w14:textId="77777777" w:rsidTr="00F746A8">
        <w:trPr>
          <w:cantSplit/>
          <w:trHeight w:val="973"/>
          <w:tblHeader/>
        </w:trPr>
        <w:tc>
          <w:tcPr>
            <w:tcW w:w="397" w:type="pct"/>
            <w:hideMark/>
          </w:tcPr>
          <w:bookmarkEnd w:id="31"/>
          <w:p w14:paraId="1648A571" w14:textId="090A9E57" w:rsidR="004B3D41" w:rsidRPr="00C51607" w:rsidRDefault="004B3D41" w:rsidP="00C51607">
            <w:pPr>
              <w:pStyle w:val="TableParagraph"/>
              <w:rPr>
                <w:rStyle w:val="Strong"/>
              </w:rPr>
            </w:pPr>
            <w:r w:rsidRPr="00C51607">
              <w:rPr>
                <w:rStyle w:val="Strong"/>
              </w:rPr>
              <w:t xml:space="preserve">Pathway </w:t>
            </w:r>
          </w:p>
        </w:tc>
        <w:tc>
          <w:tcPr>
            <w:tcW w:w="462" w:type="pct"/>
            <w:hideMark/>
          </w:tcPr>
          <w:p w14:paraId="7BFFAFB2" w14:textId="77777777" w:rsidR="004B3D41" w:rsidRPr="00C51607" w:rsidRDefault="004B3D41" w:rsidP="00C51607">
            <w:pPr>
              <w:pStyle w:val="TableParagraph"/>
              <w:rPr>
                <w:rStyle w:val="Strong"/>
              </w:rPr>
            </w:pPr>
            <w:r w:rsidRPr="00C51607">
              <w:rPr>
                <w:rStyle w:val="Strong"/>
              </w:rPr>
              <w:t>Component</w:t>
            </w:r>
          </w:p>
        </w:tc>
        <w:tc>
          <w:tcPr>
            <w:tcW w:w="1718" w:type="pct"/>
            <w:hideMark/>
          </w:tcPr>
          <w:p w14:paraId="1B044317" w14:textId="6D6428B5" w:rsidR="00881220" w:rsidRDefault="004B3D41" w:rsidP="00C51607">
            <w:pPr>
              <w:pStyle w:val="TableParagraph"/>
              <w:rPr>
                <w:rStyle w:val="Strong"/>
              </w:rPr>
            </w:pPr>
            <w:r w:rsidRPr="00C51607">
              <w:rPr>
                <w:rStyle w:val="Strong"/>
              </w:rPr>
              <w:t xml:space="preserve">Example Processes </w:t>
            </w:r>
            <w:r w:rsidR="00B80261">
              <w:rPr>
                <w:rStyle w:val="Strong"/>
              </w:rPr>
              <w:t>T</w:t>
            </w:r>
            <w:r w:rsidRPr="00C51607">
              <w:rPr>
                <w:rStyle w:val="Strong"/>
              </w:rPr>
              <w:t>o Consider</w:t>
            </w:r>
          </w:p>
          <w:p w14:paraId="0D8E93EA" w14:textId="77777777" w:rsidR="004B3D41" w:rsidRPr="00881220" w:rsidRDefault="004B3D41" w:rsidP="00C51607">
            <w:pPr>
              <w:pStyle w:val="TableParagraph"/>
              <w:rPr>
                <w:rStyle w:val="Strong"/>
                <w:b w:val="0"/>
                <w:i/>
              </w:rPr>
            </w:pPr>
            <w:r w:rsidRPr="00881220">
              <w:rPr>
                <w:rStyle w:val="Strong"/>
                <w:b w:val="0"/>
                <w:i/>
              </w:rPr>
              <w:t>As a team, go through each component and discuss what approach best fits your hospital. It may be an option other than what is listed below.</w:t>
            </w:r>
          </w:p>
        </w:tc>
        <w:tc>
          <w:tcPr>
            <w:tcW w:w="754" w:type="pct"/>
            <w:hideMark/>
          </w:tcPr>
          <w:p w14:paraId="31CD2138" w14:textId="77777777" w:rsidR="004B3D41" w:rsidRPr="00C51607" w:rsidRDefault="004B3D41" w:rsidP="00C51607">
            <w:pPr>
              <w:pStyle w:val="TableParagraph"/>
              <w:rPr>
                <w:rStyle w:val="Strong"/>
              </w:rPr>
            </w:pPr>
            <w:r w:rsidRPr="00C51607">
              <w:rPr>
                <w:rStyle w:val="Strong"/>
              </w:rPr>
              <w:t>Team Decisions/Notes</w:t>
            </w:r>
          </w:p>
          <w:p w14:paraId="25803770" w14:textId="77777777" w:rsidR="004B3D41" w:rsidRPr="00881220" w:rsidRDefault="004B3D41" w:rsidP="00C51607">
            <w:pPr>
              <w:pStyle w:val="TableParagraph"/>
              <w:rPr>
                <w:rStyle w:val="Strong"/>
                <w:b w:val="0"/>
                <w:i/>
              </w:rPr>
            </w:pPr>
            <w:r w:rsidRPr="00881220">
              <w:rPr>
                <w:rStyle w:val="Strong"/>
                <w:b w:val="0"/>
                <w:i/>
              </w:rPr>
              <w:t>As a team, note exceptions and contraindications to the treatment or medications.</w:t>
            </w:r>
          </w:p>
        </w:tc>
        <w:tc>
          <w:tcPr>
            <w:tcW w:w="832" w:type="pct"/>
            <w:hideMark/>
          </w:tcPr>
          <w:p w14:paraId="42DB9236" w14:textId="18DDE719" w:rsidR="004B3D41" w:rsidRPr="00C51607" w:rsidRDefault="00AA140E" w:rsidP="00C51607">
            <w:pPr>
              <w:pStyle w:val="TableParagraph"/>
              <w:rPr>
                <w:rStyle w:val="Strong"/>
              </w:rPr>
            </w:pPr>
            <w:r>
              <w:rPr>
                <w:rStyle w:val="Strong"/>
              </w:rPr>
              <w:t xml:space="preserve">Other Available Resources </w:t>
            </w:r>
            <w:r w:rsidR="004E7650">
              <w:rPr>
                <w:rStyle w:val="Strong"/>
              </w:rPr>
              <w:t>and</w:t>
            </w:r>
            <w:r>
              <w:rPr>
                <w:rStyle w:val="Strong"/>
              </w:rPr>
              <w:t xml:space="preserve"> Tips </w:t>
            </w:r>
            <w:r w:rsidR="004E7650">
              <w:rPr>
                <w:rStyle w:val="Strong"/>
              </w:rPr>
              <w:t>T</w:t>
            </w:r>
            <w:r>
              <w:rPr>
                <w:rStyle w:val="Strong"/>
              </w:rPr>
              <w:t>o Consider</w:t>
            </w:r>
          </w:p>
        </w:tc>
        <w:tc>
          <w:tcPr>
            <w:tcW w:w="836" w:type="pct"/>
            <w:hideMark/>
          </w:tcPr>
          <w:p w14:paraId="7C85093D" w14:textId="77777777" w:rsidR="009F40B9" w:rsidRPr="009F40B9" w:rsidRDefault="009F40B9" w:rsidP="009F40B9">
            <w:pPr>
              <w:pStyle w:val="TableParagraph"/>
              <w:rPr>
                <w:rStyle w:val="Strong"/>
              </w:rPr>
            </w:pPr>
            <w:r w:rsidRPr="009F40B9">
              <w:rPr>
                <w:rStyle w:val="Strong"/>
              </w:rPr>
              <w:t>ISCR Measures</w:t>
            </w:r>
          </w:p>
          <w:p w14:paraId="16C07162" w14:textId="77777777" w:rsidR="004B3D41" w:rsidRPr="00C51607"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22B22698" w14:textId="77777777" w:rsidTr="00F746A8">
        <w:trPr>
          <w:cantSplit/>
          <w:trHeight w:val="334"/>
        </w:trPr>
        <w:tc>
          <w:tcPr>
            <w:tcW w:w="397" w:type="pct"/>
            <w:hideMark/>
          </w:tcPr>
          <w:p w14:paraId="4587F1F0" w14:textId="77777777" w:rsidR="005956DE" w:rsidRPr="00494512" w:rsidRDefault="006F533C" w:rsidP="00C51607">
            <w:pPr>
              <w:pStyle w:val="TableParagraph"/>
              <w:rPr>
                <w:b/>
              </w:rPr>
            </w:pPr>
            <w:r w:rsidRPr="00494512">
              <w:rPr>
                <w:b/>
              </w:rPr>
              <w:t>All ISCR Pathways</w:t>
            </w:r>
            <w:r w:rsidR="00C51607" w:rsidRPr="00494512">
              <w:rPr>
                <w:b/>
              </w:rPr>
              <w:t xml:space="preserve"> </w:t>
            </w:r>
          </w:p>
        </w:tc>
        <w:tc>
          <w:tcPr>
            <w:tcW w:w="462" w:type="pct"/>
          </w:tcPr>
          <w:p w14:paraId="0B594C0C" w14:textId="77777777" w:rsidR="005956DE" w:rsidRPr="00494512" w:rsidRDefault="005956DE" w:rsidP="00C51607">
            <w:pPr>
              <w:pStyle w:val="TableParagraph"/>
              <w:rPr>
                <w:b/>
              </w:rPr>
            </w:pPr>
            <w:r w:rsidRPr="00494512">
              <w:rPr>
                <w:b/>
              </w:rPr>
              <w:t>Avoid Tubes and Drains</w:t>
            </w:r>
          </w:p>
        </w:tc>
        <w:tc>
          <w:tcPr>
            <w:tcW w:w="1718" w:type="pct"/>
          </w:tcPr>
          <w:p w14:paraId="7BC72340" w14:textId="77777777" w:rsidR="005956DE" w:rsidRPr="00494512" w:rsidRDefault="005956DE" w:rsidP="00494512">
            <w:pPr>
              <w:pStyle w:val="TableParagraph"/>
              <w:spacing w:after="120" w:line="240" w:lineRule="auto"/>
              <w:rPr>
                <w:rFonts w:eastAsia="Times New Roman" w:cs="Times New Roman"/>
                <w:b/>
                <w:color w:val="000000"/>
              </w:rPr>
            </w:pPr>
            <w:r w:rsidRPr="00494512">
              <w:rPr>
                <w:rFonts w:eastAsia="Times New Roman" w:cs="Times New Roman"/>
                <w:b/>
                <w:color w:val="000000"/>
              </w:rPr>
              <w:t xml:space="preserve">Recommended </w:t>
            </w:r>
            <w:r w:rsidR="00494512" w:rsidRPr="00494512">
              <w:rPr>
                <w:rFonts w:eastAsia="Times New Roman" w:cs="Times New Roman"/>
                <w:b/>
                <w:color w:val="000000"/>
              </w:rPr>
              <w:t>approach</w:t>
            </w:r>
            <w:r w:rsidRPr="00494512">
              <w:rPr>
                <w:rFonts w:eastAsia="Times New Roman" w:cs="Times New Roman"/>
                <w:b/>
                <w:color w:val="000000"/>
              </w:rPr>
              <w:t>:</w:t>
            </w:r>
          </w:p>
          <w:p w14:paraId="21A0459D" w14:textId="77777777" w:rsidR="005956DE" w:rsidRPr="00AE595D" w:rsidRDefault="005956DE" w:rsidP="00C51607">
            <w:pPr>
              <w:pStyle w:val="Bullet1"/>
            </w:pPr>
            <w:r w:rsidRPr="00AE595D">
              <w:t>No routine use of drains at end of procedure except for cases with low rectal anastomosis</w:t>
            </w:r>
            <w:r w:rsidR="00C51607">
              <w:t xml:space="preserve"> in gynecologic surgery</w:t>
            </w:r>
          </w:p>
          <w:p w14:paraId="1C9B5926" w14:textId="77777777" w:rsidR="005956DE" w:rsidRDefault="005956DE" w:rsidP="00C51607">
            <w:pPr>
              <w:pStyle w:val="Bullet1"/>
            </w:pPr>
            <w:r w:rsidRPr="00AE595D">
              <w:t>Remove nasogastric or orogastric tube at end of procedure</w:t>
            </w:r>
          </w:p>
          <w:p w14:paraId="0EB7DABA" w14:textId="77777777" w:rsidR="00D0345E" w:rsidRDefault="00D0345E" w:rsidP="00216814">
            <w:pPr>
              <w:pStyle w:val="Bullet1"/>
              <w:numPr>
                <w:ilvl w:val="0"/>
                <w:numId w:val="0"/>
              </w:numPr>
              <w:rPr>
                <w:i/>
                <w:u w:val="single"/>
              </w:rPr>
            </w:pPr>
          </w:p>
          <w:p w14:paraId="3E4ED5D5" w14:textId="77777777" w:rsidR="00216814" w:rsidRPr="00147ABD" w:rsidRDefault="00216814" w:rsidP="00216814">
            <w:pPr>
              <w:pStyle w:val="Bullet1"/>
              <w:numPr>
                <w:ilvl w:val="0"/>
                <w:numId w:val="0"/>
              </w:numPr>
              <w:rPr>
                <w:i/>
                <w:u w:val="single"/>
              </w:rPr>
            </w:pPr>
            <w:r w:rsidRPr="00147ABD">
              <w:rPr>
                <w:i/>
                <w:u w:val="single"/>
              </w:rPr>
              <w:t xml:space="preserve">EGS Major Abdominal Surgery </w:t>
            </w:r>
            <w:r w:rsidR="00494512" w:rsidRPr="00147ABD">
              <w:rPr>
                <w:i/>
                <w:u w:val="single"/>
              </w:rPr>
              <w:t>Considerations</w:t>
            </w:r>
            <w:r w:rsidRPr="00147ABD">
              <w:rPr>
                <w:i/>
                <w:u w:val="single"/>
              </w:rPr>
              <w:t xml:space="preserve">: </w:t>
            </w:r>
          </w:p>
          <w:p w14:paraId="716E120F" w14:textId="77777777" w:rsidR="00216814" w:rsidRPr="00216814" w:rsidRDefault="00216814" w:rsidP="009314FA">
            <w:pPr>
              <w:pStyle w:val="Bullet1"/>
            </w:pPr>
            <w:r w:rsidRPr="00216814">
              <w:t>Routine use of intraperitoneal drains is not recommended.</w:t>
            </w:r>
          </w:p>
          <w:p w14:paraId="26B7C6CE" w14:textId="77777777" w:rsidR="00216814" w:rsidRDefault="00216814" w:rsidP="00216814">
            <w:pPr>
              <w:pStyle w:val="Bullet1"/>
            </w:pPr>
            <w:r w:rsidRPr="00216814">
              <w:t>Routine nasogastric tube decompression is not recommended unless prolonged ileus is anticipated or it is necessary to divert gastric contents.</w:t>
            </w:r>
          </w:p>
          <w:p w14:paraId="7352A254" w14:textId="77777777" w:rsidR="00216814" w:rsidRPr="00147ABD" w:rsidRDefault="00216814" w:rsidP="00216814">
            <w:pPr>
              <w:pStyle w:val="Bullet1"/>
              <w:numPr>
                <w:ilvl w:val="0"/>
                <w:numId w:val="0"/>
              </w:numPr>
              <w:rPr>
                <w:i/>
                <w:u w:val="single"/>
              </w:rPr>
            </w:pPr>
            <w:r w:rsidRPr="00147ABD">
              <w:rPr>
                <w:i/>
                <w:u w:val="single"/>
              </w:rPr>
              <w:t xml:space="preserve">Appendectomy and Cholecystectomy </w:t>
            </w:r>
            <w:r w:rsidR="00494512" w:rsidRPr="00147ABD">
              <w:rPr>
                <w:i/>
                <w:u w:val="single"/>
              </w:rPr>
              <w:t>Considerations</w:t>
            </w:r>
            <w:r w:rsidRPr="00147ABD">
              <w:rPr>
                <w:i/>
                <w:u w:val="single"/>
              </w:rPr>
              <w:t>:</w:t>
            </w:r>
          </w:p>
          <w:p w14:paraId="442A5405" w14:textId="155CED93" w:rsidR="00216814" w:rsidRPr="00AE595D" w:rsidRDefault="00216814" w:rsidP="00F746A8">
            <w:pPr>
              <w:pStyle w:val="Bullet1"/>
            </w:pPr>
            <w:r w:rsidRPr="00216814">
              <w:t>Routine use of peritoneal drain</w:t>
            </w:r>
            <w:r w:rsidR="00FE58EC">
              <w:t>s</w:t>
            </w:r>
            <w:r w:rsidRPr="00216814">
              <w:t xml:space="preserve"> is not recommended for </w:t>
            </w:r>
            <w:r w:rsidR="00FE58EC" w:rsidRPr="009C7C23">
              <w:t>surgery for</w:t>
            </w:r>
            <w:r w:rsidR="00FE58EC">
              <w:t xml:space="preserve"> </w:t>
            </w:r>
            <w:r w:rsidRPr="00216814">
              <w:t>acute cholecystitis or appendicitis</w:t>
            </w:r>
          </w:p>
        </w:tc>
        <w:tc>
          <w:tcPr>
            <w:tcW w:w="754" w:type="pct"/>
          </w:tcPr>
          <w:p w14:paraId="26E6260D" w14:textId="2B151CC1" w:rsidR="005956DE" w:rsidRPr="00AE595D" w:rsidRDefault="00C2156C" w:rsidP="00C51607">
            <w:pPr>
              <w:pStyle w:val="TableParagraph"/>
            </w:pPr>
            <w:r w:rsidRPr="007C7841">
              <w:rPr>
                <w:rFonts w:eastAsia="Times New Roman" w:cs="Times New Roman"/>
                <w:i/>
                <w:color w:val="000000"/>
              </w:rPr>
              <w:t xml:space="preserve">Enter </w:t>
            </w:r>
            <w:r w:rsidR="004E7650">
              <w:rPr>
                <w:rFonts w:eastAsia="Times New Roman" w:cs="Times New Roman"/>
                <w:i/>
                <w:color w:val="000000"/>
              </w:rPr>
              <w:t xml:space="preserve">team decisions/notes </w:t>
            </w:r>
            <w:r w:rsidRPr="007C7841">
              <w:rPr>
                <w:rFonts w:eastAsia="Times New Roman" w:cs="Times New Roman"/>
                <w:i/>
                <w:color w:val="000000"/>
              </w:rPr>
              <w:t>here</w:t>
            </w:r>
          </w:p>
        </w:tc>
        <w:tc>
          <w:tcPr>
            <w:tcW w:w="832" w:type="pct"/>
          </w:tcPr>
          <w:p w14:paraId="664E7937" w14:textId="19D23304" w:rsidR="005956DE" w:rsidRPr="00AE595D" w:rsidRDefault="003023A5" w:rsidP="00C51607">
            <w:pPr>
              <w:pStyle w:val="TableParagraph"/>
              <w:rPr>
                <w:color w:val="000000"/>
              </w:rPr>
            </w:pPr>
            <w:r>
              <w:rPr>
                <w:b/>
                <w:color w:val="000000"/>
              </w:rPr>
              <w:t>Tip</w:t>
            </w:r>
            <w:r w:rsidR="00216814" w:rsidRPr="00216814">
              <w:rPr>
                <w:b/>
                <w:color w:val="000000"/>
              </w:rPr>
              <w:t>:</w:t>
            </w:r>
            <w:r w:rsidR="00216814" w:rsidRPr="00216814">
              <w:rPr>
                <w:color w:val="000000"/>
              </w:rPr>
              <w:t xml:space="preserve"> Remove nasogastric tubes before leaving the operating room if appropriate.</w:t>
            </w:r>
          </w:p>
        </w:tc>
        <w:tc>
          <w:tcPr>
            <w:tcW w:w="836" w:type="pct"/>
          </w:tcPr>
          <w:p w14:paraId="6B8D3188" w14:textId="73E17852" w:rsidR="005956DE" w:rsidRPr="00CB6C14" w:rsidRDefault="00CB6C14" w:rsidP="00C51607">
            <w:pPr>
              <w:pStyle w:val="TableParagraph"/>
              <w:rPr>
                <w:i/>
                <w:color w:val="000000"/>
              </w:rPr>
            </w:pPr>
            <w:r w:rsidRPr="00CB6C14">
              <w:rPr>
                <w:i/>
                <w:color w:val="000000"/>
              </w:rPr>
              <w:t>Enter here</w:t>
            </w:r>
          </w:p>
        </w:tc>
      </w:tr>
    </w:tbl>
    <w:p w14:paraId="1E55757D" w14:textId="77777777" w:rsidR="00B80261" w:rsidRDefault="00B80261" w:rsidP="00B80261">
      <w:r w:rsidRPr="00AE595D">
        <w:t>Abbreviations:</w:t>
      </w:r>
      <w:r>
        <w:t xml:space="preserve"> ISCR = Improving Surgical Care and Recovery</w:t>
      </w:r>
    </w:p>
    <w:p w14:paraId="277F562F" w14:textId="77777777" w:rsidR="0040010C" w:rsidRPr="00AE595D" w:rsidRDefault="0040010C" w:rsidP="00AE595D">
      <w:pPr>
        <w:spacing w:after="120" w:line="240" w:lineRule="auto"/>
        <w:rPr>
          <w:b/>
        </w:rPr>
      </w:pPr>
    </w:p>
    <w:p w14:paraId="5B1A0F0E" w14:textId="77777777" w:rsidR="00EC3092" w:rsidRDefault="00EC3092">
      <w:pPr>
        <w:spacing w:after="160" w:line="259" w:lineRule="auto"/>
        <w:ind w:left="360" w:hanging="360"/>
        <w:rPr>
          <w:b/>
          <w:bCs/>
          <w:sz w:val="28"/>
          <w:szCs w:val="28"/>
        </w:rPr>
      </w:pPr>
      <w:r>
        <w:br w:type="page"/>
      </w:r>
    </w:p>
    <w:p w14:paraId="11C07EF4" w14:textId="77777777" w:rsidR="0040010C" w:rsidRPr="00AE595D" w:rsidRDefault="0040010C">
      <w:pPr>
        <w:pStyle w:val="Heading2"/>
      </w:pPr>
      <w:bookmarkStart w:id="33" w:name="_Toc117000813"/>
      <w:r w:rsidRPr="00AE595D">
        <w:lastRenderedPageBreak/>
        <w:t>Intraoperative</w:t>
      </w:r>
      <w:r w:rsidR="00C51607">
        <w:t xml:space="preserve"> </w:t>
      </w:r>
      <w:r w:rsidR="00C51607" w:rsidRPr="00C51607">
        <w:t>Urinary Catheter Insertion</w:t>
      </w:r>
      <w:bookmarkEnd w:id="33"/>
    </w:p>
    <w:tbl>
      <w:tblPr>
        <w:tblStyle w:val="GridTable1Light1"/>
        <w:tblW w:w="5000" w:type="pct"/>
        <w:tblLook w:val="0600" w:firstRow="0" w:lastRow="0" w:firstColumn="0" w:lastColumn="0" w:noHBand="1" w:noVBand="1"/>
      </w:tblPr>
      <w:tblGrid>
        <w:gridCol w:w="1880"/>
        <w:gridCol w:w="1893"/>
        <w:gridCol w:w="7655"/>
        <w:gridCol w:w="3565"/>
        <w:gridCol w:w="3832"/>
        <w:gridCol w:w="4205"/>
      </w:tblGrid>
      <w:tr w:rsidR="0040010C" w:rsidRPr="00C51607" w14:paraId="793BAE45" w14:textId="77777777" w:rsidTr="00F746A8">
        <w:trPr>
          <w:cantSplit/>
          <w:trHeight w:val="973"/>
          <w:tblHeader/>
        </w:trPr>
        <w:tc>
          <w:tcPr>
            <w:tcW w:w="408" w:type="pct"/>
            <w:hideMark/>
          </w:tcPr>
          <w:p w14:paraId="20D31B94" w14:textId="2FFBE05E" w:rsidR="0040010C" w:rsidRPr="00C51607" w:rsidRDefault="0040010C" w:rsidP="00147885">
            <w:pPr>
              <w:pStyle w:val="TableParagraph"/>
              <w:rPr>
                <w:rStyle w:val="Strong"/>
              </w:rPr>
            </w:pPr>
            <w:r w:rsidRPr="00C51607">
              <w:rPr>
                <w:rStyle w:val="Strong"/>
              </w:rPr>
              <w:t xml:space="preserve">Pathway </w:t>
            </w:r>
          </w:p>
        </w:tc>
        <w:tc>
          <w:tcPr>
            <w:tcW w:w="411" w:type="pct"/>
            <w:hideMark/>
          </w:tcPr>
          <w:p w14:paraId="5DD5B470" w14:textId="77777777" w:rsidR="0040010C" w:rsidRPr="00C51607" w:rsidRDefault="0040010C" w:rsidP="00147885">
            <w:pPr>
              <w:pStyle w:val="TableParagraph"/>
              <w:rPr>
                <w:rStyle w:val="Strong"/>
              </w:rPr>
            </w:pPr>
            <w:r w:rsidRPr="00C51607">
              <w:rPr>
                <w:rStyle w:val="Strong"/>
              </w:rPr>
              <w:t>Component</w:t>
            </w:r>
          </w:p>
        </w:tc>
        <w:tc>
          <w:tcPr>
            <w:tcW w:w="1662" w:type="pct"/>
            <w:hideMark/>
          </w:tcPr>
          <w:p w14:paraId="6A7804F3" w14:textId="13F76B46" w:rsidR="00881220" w:rsidRDefault="0040010C" w:rsidP="00147885">
            <w:pPr>
              <w:pStyle w:val="TableParagraph"/>
              <w:rPr>
                <w:rStyle w:val="Strong"/>
              </w:rPr>
            </w:pPr>
            <w:r w:rsidRPr="00C51607">
              <w:rPr>
                <w:rStyle w:val="Strong"/>
              </w:rPr>
              <w:t xml:space="preserve">Example Processes </w:t>
            </w:r>
            <w:r w:rsidR="004E7650">
              <w:rPr>
                <w:rStyle w:val="Strong"/>
              </w:rPr>
              <w:t>T</w:t>
            </w:r>
            <w:r w:rsidRPr="00C51607">
              <w:rPr>
                <w:rStyle w:val="Strong"/>
              </w:rPr>
              <w:t>o Consider</w:t>
            </w:r>
          </w:p>
          <w:p w14:paraId="1962DD6F" w14:textId="77777777" w:rsidR="0040010C" w:rsidRPr="00881220" w:rsidRDefault="0040010C" w:rsidP="00147885">
            <w:pPr>
              <w:pStyle w:val="TableParagraph"/>
              <w:rPr>
                <w:rStyle w:val="Strong"/>
                <w:b w:val="0"/>
                <w:i/>
              </w:rPr>
            </w:pPr>
            <w:r w:rsidRPr="00881220">
              <w:rPr>
                <w:rStyle w:val="Strong"/>
                <w:b w:val="0"/>
                <w:i/>
              </w:rPr>
              <w:t>As a team, go through each component and discuss what approach best fits your hospital. It may be an option other than what is listed below.</w:t>
            </w:r>
          </w:p>
        </w:tc>
        <w:tc>
          <w:tcPr>
            <w:tcW w:w="774" w:type="pct"/>
            <w:hideMark/>
          </w:tcPr>
          <w:p w14:paraId="00D5A82C" w14:textId="77777777" w:rsidR="0040010C" w:rsidRPr="00C51607" w:rsidRDefault="0040010C" w:rsidP="00147885">
            <w:pPr>
              <w:pStyle w:val="TableParagraph"/>
              <w:rPr>
                <w:rStyle w:val="Strong"/>
              </w:rPr>
            </w:pPr>
            <w:r w:rsidRPr="00C51607">
              <w:rPr>
                <w:rStyle w:val="Strong"/>
              </w:rPr>
              <w:t>Team Decisions/Notes</w:t>
            </w:r>
          </w:p>
          <w:p w14:paraId="1FA13FFB" w14:textId="77777777" w:rsidR="0040010C" w:rsidRPr="00881220" w:rsidRDefault="0040010C" w:rsidP="00147885">
            <w:pPr>
              <w:pStyle w:val="TableParagraph"/>
              <w:rPr>
                <w:rStyle w:val="Strong"/>
                <w:b w:val="0"/>
                <w:i/>
              </w:rPr>
            </w:pPr>
            <w:r w:rsidRPr="00881220">
              <w:rPr>
                <w:rStyle w:val="Strong"/>
                <w:b w:val="0"/>
                <w:i/>
              </w:rPr>
              <w:t>As a team, note exceptions and contraindications to the treatment or medications.</w:t>
            </w:r>
          </w:p>
        </w:tc>
        <w:tc>
          <w:tcPr>
            <w:tcW w:w="832" w:type="pct"/>
            <w:hideMark/>
          </w:tcPr>
          <w:p w14:paraId="0820492B" w14:textId="10264725" w:rsidR="0040010C" w:rsidRPr="00C51607" w:rsidRDefault="00AA140E" w:rsidP="00147885">
            <w:pPr>
              <w:pStyle w:val="TableParagraph"/>
              <w:rPr>
                <w:rStyle w:val="Strong"/>
              </w:rPr>
            </w:pPr>
            <w:r>
              <w:rPr>
                <w:rStyle w:val="Strong"/>
              </w:rPr>
              <w:t xml:space="preserve">Other Available Resources </w:t>
            </w:r>
            <w:r w:rsidR="004E7650">
              <w:rPr>
                <w:rStyle w:val="Strong"/>
              </w:rPr>
              <w:t>and</w:t>
            </w:r>
            <w:r>
              <w:rPr>
                <w:rStyle w:val="Strong"/>
              </w:rPr>
              <w:t xml:space="preserve"> Tips </w:t>
            </w:r>
            <w:r w:rsidR="004E7650">
              <w:rPr>
                <w:rStyle w:val="Strong"/>
              </w:rPr>
              <w:t>T</w:t>
            </w:r>
            <w:r>
              <w:rPr>
                <w:rStyle w:val="Strong"/>
              </w:rPr>
              <w:t>o Consider</w:t>
            </w:r>
          </w:p>
        </w:tc>
        <w:tc>
          <w:tcPr>
            <w:tcW w:w="913" w:type="pct"/>
            <w:hideMark/>
          </w:tcPr>
          <w:p w14:paraId="59A3B273" w14:textId="77777777" w:rsidR="009F40B9" w:rsidRPr="009F40B9" w:rsidRDefault="009F40B9" w:rsidP="009F40B9">
            <w:pPr>
              <w:pStyle w:val="TableParagraph"/>
              <w:rPr>
                <w:rStyle w:val="Strong"/>
              </w:rPr>
            </w:pPr>
            <w:r w:rsidRPr="009F40B9">
              <w:rPr>
                <w:rStyle w:val="Strong"/>
              </w:rPr>
              <w:t>ISCR Measures</w:t>
            </w:r>
          </w:p>
          <w:p w14:paraId="7801D455" w14:textId="77777777" w:rsidR="0040010C" w:rsidRPr="00C51607"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20F1B" w:rsidRPr="00AE595D" w14:paraId="69F3092B" w14:textId="77777777" w:rsidTr="00F746A8">
        <w:trPr>
          <w:cantSplit/>
          <w:trHeight w:val="640"/>
        </w:trPr>
        <w:tc>
          <w:tcPr>
            <w:tcW w:w="408" w:type="pct"/>
          </w:tcPr>
          <w:p w14:paraId="019994C4" w14:textId="77777777" w:rsidR="00520F1B" w:rsidRPr="00494512" w:rsidRDefault="00863C1C" w:rsidP="00147885">
            <w:pPr>
              <w:pStyle w:val="TableParagraph"/>
              <w:rPr>
                <w:b/>
              </w:rPr>
            </w:pPr>
            <w:bookmarkStart w:id="34" w:name="_Hlk111558541"/>
            <w:r w:rsidRPr="00494512">
              <w:rPr>
                <w:b/>
              </w:rPr>
              <w:t>All ISCR Pathways</w:t>
            </w:r>
          </w:p>
          <w:p w14:paraId="7BECD4E1" w14:textId="77777777" w:rsidR="00520F1B" w:rsidRPr="00494512" w:rsidRDefault="00520F1B" w:rsidP="00147885">
            <w:pPr>
              <w:pStyle w:val="TableParagraph"/>
              <w:rPr>
                <w:b/>
              </w:rPr>
            </w:pPr>
          </w:p>
        </w:tc>
        <w:tc>
          <w:tcPr>
            <w:tcW w:w="411" w:type="pct"/>
          </w:tcPr>
          <w:p w14:paraId="47AFA5FD" w14:textId="343F5298" w:rsidR="00520F1B" w:rsidRPr="00494512" w:rsidRDefault="00437364" w:rsidP="00147885">
            <w:pPr>
              <w:pStyle w:val="TableParagraph"/>
              <w:rPr>
                <w:b/>
                <w:highlight w:val="yellow"/>
              </w:rPr>
            </w:pPr>
            <w:r>
              <w:rPr>
                <w:b/>
              </w:rPr>
              <w:t xml:space="preserve">Indwelling </w:t>
            </w:r>
            <w:r w:rsidR="00520F1B" w:rsidRPr="00494512">
              <w:rPr>
                <w:b/>
              </w:rPr>
              <w:t>Urinary Catheter</w:t>
            </w:r>
            <w:r w:rsidR="00B43299">
              <w:rPr>
                <w:b/>
              </w:rPr>
              <w:t xml:space="preserve"> Use</w:t>
            </w:r>
          </w:p>
        </w:tc>
        <w:tc>
          <w:tcPr>
            <w:tcW w:w="1662" w:type="pct"/>
          </w:tcPr>
          <w:p w14:paraId="387FAFA8" w14:textId="77777777" w:rsidR="00520F1B" w:rsidRPr="00494512" w:rsidRDefault="00520F1B" w:rsidP="00494512">
            <w:pPr>
              <w:pStyle w:val="TableParagraph"/>
              <w:spacing w:after="120" w:line="240" w:lineRule="auto"/>
              <w:rPr>
                <w:b/>
                <w:color w:val="000000"/>
              </w:rPr>
            </w:pPr>
            <w:r w:rsidRPr="00494512">
              <w:rPr>
                <w:b/>
                <w:color w:val="000000"/>
              </w:rPr>
              <w:t>Recommended approach:</w:t>
            </w:r>
          </w:p>
          <w:p w14:paraId="15828438" w14:textId="383A761B" w:rsidR="00C2156C" w:rsidRDefault="00C2156C" w:rsidP="00147885">
            <w:pPr>
              <w:pStyle w:val="Bullet1"/>
            </w:pPr>
            <w:r w:rsidRPr="00C2156C">
              <w:t>Ensure that it is communicated to the operating room</w:t>
            </w:r>
            <w:r w:rsidR="002D7076">
              <w:t xml:space="preserve"> (OR)</w:t>
            </w:r>
            <w:r w:rsidRPr="00C2156C">
              <w:t xml:space="preserve"> team (or documented) that the patient voided prior to arriving in the </w:t>
            </w:r>
            <w:r w:rsidR="002D7076">
              <w:t>OR</w:t>
            </w:r>
            <w:r w:rsidRPr="00C2156C">
              <w:t xml:space="preserve"> so that an indwelling urinary catheter can be avoided</w:t>
            </w:r>
          </w:p>
          <w:p w14:paraId="4B17170F" w14:textId="77777777" w:rsidR="00520F1B" w:rsidRDefault="00520F1B" w:rsidP="00147885">
            <w:pPr>
              <w:pStyle w:val="Bullet1"/>
            </w:pPr>
            <w:r w:rsidRPr="00AE595D">
              <w:t>If urinary catheter is inserted, remove before the patient leaves the operating room if not needed for hemodynamic monitoring</w:t>
            </w:r>
          </w:p>
          <w:p w14:paraId="4FDC7590" w14:textId="77777777" w:rsidR="00863C1C" w:rsidRPr="00AE595D" w:rsidRDefault="00863C1C" w:rsidP="00863C1C">
            <w:pPr>
              <w:pStyle w:val="Bullet1"/>
              <w:numPr>
                <w:ilvl w:val="0"/>
                <w:numId w:val="0"/>
              </w:numPr>
              <w:ind w:left="720" w:hanging="360"/>
            </w:pPr>
          </w:p>
        </w:tc>
        <w:tc>
          <w:tcPr>
            <w:tcW w:w="774" w:type="pct"/>
          </w:tcPr>
          <w:p w14:paraId="5796EA5B" w14:textId="1BD58026" w:rsidR="00520F1B" w:rsidRPr="00AE595D" w:rsidRDefault="00C2156C" w:rsidP="00147885">
            <w:pPr>
              <w:pStyle w:val="TableParagraph"/>
            </w:pPr>
            <w:r w:rsidRPr="007C7841">
              <w:rPr>
                <w:rFonts w:eastAsia="Times New Roman" w:cs="Times New Roman"/>
                <w:i/>
                <w:color w:val="000000"/>
              </w:rPr>
              <w:t xml:space="preserve">Enter </w:t>
            </w:r>
            <w:r w:rsidR="004E7650">
              <w:rPr>
                <w:rFonts w:eastAsia="Times New Roman" w:cs="Times New Roman"/>
                <w:i/>
                <w:color w:val="000000"/>
              </w:rPr>
              <w:t xml:space="preserve">team decisions/notes </w:t>
            </w:r>
            <w:r w:rsidRPr="007C7841">
              <w:rPr>
                <w:rFonts w:eastAsia="Times New Roman" w:cs="Times New Roman"/>
                <w:i/>
                <w:color w:val="000000"/>
              </w:rPr>
              <w:t>here</w:t>
            </w:r>
          </w:p>
        </w:tc>
        <w:tc>
          <w:tcPr>
            <w:tcW w:w="832" w:type="pct"/>
          </w:tcPr>
          <w:p w14:paraId="53A9851E" w14:textId="7C5050FB" w:rsidR="00520F1B" w:rsidRDefault="003023A5" w:rsidP="00147885">
            <w:pPr>
              <w:pStyle w:val="TableParagraph"/>
              <w:rPr>
                <w:color w:val="000000"/>
              </w:rPr>
            </w:pPr>
            <w:r>
              <w:rPr>
                <w:b/>
                <w:color w:val="000000"/>
              </w:rPr>
              <w:t>Tip</w:t>
            </w:r>
            <w:r w:rsidR="00520F1B" w:rsidRPr="00147885">
              <w:rPr>
                <w:b/>
                <w:color w:val="000000"/>
              </w:rPr>
              <w:t>:</w:t>
            </w:r>
            <w:r w:rsidR="00520F1B" w:rsidRPr="00AE595D">
              <w:rPr>
                <w:color w:val="000000"/>
              </w:rPr>
              <w:t xml:space="preserve"> Have instructions placed in standardized order sets.</w:t>
            </w:r>
          </w:p>
          <w:p w14:paraId="2964A47F" w14:textId="580ADFAC" w:rsidR="00863C1C" w:rsidRPr="00AE595D" w:rsidRDefault="00863C1C" w:rsidP="00863C1C">
            <w:pPr>
              <w:pStyle w:val="TableParagraph"/>
              <w:rPr>
                <w:color w:val="000000"/>
              </w:rPr>
            </w:pPr>
          </w:p>
        </w:tc>
        <w:tc>
          <w:tcPr>
            <w:tcW w:w="913" w:type="pct"/>
          </w:tcPr>
          <w:p w14:paraId="15075263" w14:textId="596AAA46" w:rsidR="00520F1B" w:rsidRPr="00AE595D" w:rsidRDefault="00584831" w:rsidP="00147885">
            <w:pPr>
              <w:pStyle w:val="TableParagraph"/>
            </w:pPr>
            <w:r>
              <w:t>Indwelling u</w:t>
            </w:r>
            <w:r w:rsidR="00863C1C">
              <w:t xml:space="preserve">rinary </w:t>
            </w:r>
            <w:r>
              <w:t>c</w:t>
            </w:r>
            <w:r w:rsidR="00520F1B" w:rsidRPr="00AE595D">
              <w:t>atheter</w:t>
            </w:r>
            <w:r w:rsidR="0024216D">
              <w:t xml:space="preserve"> avoidance or early</w:t>
            </w:r>
            <w:r w:rsidR="00520F1B" w:rsidRPr="00AE595D">
              <w:t xml:space="preserve"> </w:t>
            </w:r>
            <w:r>
              <w:t>r</w:t>
            </w:r>
            <w:r w:rsidR="00520F1B" w:rsidRPr="00AE595D">
              <w:t xml:space="preserve">emoval </w:t>
            </w:r>
          </w:p>
          <w:p w14:paraId="54F066EC" w14:textId="77777777" w:rsidR="00520F1B" w:rsidRPr="00AE595D" w:rsidRDefault="00520F1B" w:rsidP="00147885">
            <w:pPr>
              <w:pStyle w:val="TableParagraph"/>
            </w:pPr>
          </w:p>
          <w:p w14:paraId="25A9461A" w14:textId="12462DF9" w:rsidR="00520F1B" w:rsidRPr="00AE595D" w:rsidRDefault="00520F1B" w:rsidP="00147885">
            <w:pPr>
              <w:pStyle w:val="TableParagraph"/>
            </w:pPr>
          </w:p>
        </w:tc>
      </w:tr>
    </w:tbl>
    <w:bookmarkEnd w:id="34"/>
    <w:p w14:paraId="17AE91E1" w14:textId="77777777" w:rsidR="004E7650" w:rsidRDefault="004E7650" w:rsidP="004E7650">
      <w:r w:rsidRPr="00AE595D">
        <w:t>Abbreviations:</w:t>
      </w:r>
      <w:r>
        <w:t xml:space="preserve"> ISCR = Improving Surgical Care and Recovery</w:t>
      </w:r>
    </w:p>
    <w:p w14:paraId="2BB39987" w14:textId="77777777" w:rsidR="00605B85" w:rsidRPr="00AE595D" w:rsidRDefault="00605B85" w:rsidP="00AE595D">
      <w:pPr>
        <w:spacing w:after="120" w:line="240" w:lineRule="auto"/>
        <w:rPr>
          <w:b/>
        </w:rPr>
      </w:pPr>
    </w:p>
    <w:p w14:paraId="2415A0E5" w14:textId="77777777" w:rsidR="00014742" w:rsidRDefault="00014742">
      <w:pPr>
        <w:spacing w:after="160" w:line="259" w:lineRule="auto"/>
        <w:ind w:left="360" w:hanging="360"/>
        <w:rPr>
          <w:b/>
          <w:bCs/>
          <w:sz w:val="28"/>
          <w:szCs w:val="28"/>
        </w:rPr>
      </w:pPr>
      <w:r>
        <w:br w:type="page"/>
      </w:r>
    </w:p>
    <w:p w14:paraId="6CCA244A" w14:textId="268407B1" w:rsidR="002455BD" w:rsidRPr="00AE595D" w:rsidRDefault="002455BD">
      <w:pPr>
        <w:pStyle w:val="Heading2"/>
      </w:pPr>
      <w:bookmarkStart w:id="35" w:name="_Toc117000814"/>
      <w:r w:rsidRPr="00AE595D">
        <w:lastRenderedPageBreak/>
        <w:t>Intraoperative</w:t>
      </w:r>
      <w:r w:rsidR="00216814" w:rsidRPr="00216814">
        <w:t xml:space="preserve"> Intra-articular, Local Infiltration</w:t>
      </w:r>
      <w:r w:rsidR="00927003">
        <w:t>,</w:t>
      </w:r>
      <w:r w:rsidR="00216814" w:rsidRPr="00216814">
        <w:t xml:space="preserve"> and Periarticular Injection</w:t>
      </w:r>
      <w:bookmarkEnd w:id="35"/>
    </w:p>
    <w:tbl>
      <w:tblPr>
        <w:tblStyle w:val="GridTable1Light1"/>
        <w:tblW w:w="5000" w:type="pct"/>
        <w:tblLook w:val="0600" w:firstRow="0" w:lastRow="0" w:firstColumn="0" w:lastColumn="0" w:noHBand="1" w:noVBand="1"/>
      </w:tblPr>
      <w:tblGrid>
        <w:gridCol w:w="1880"/>
        <w:gridCol w:w="1893"/>
        <w:gridCol w:w="7655"/>
        <w:gridCol w:w="3565"/>
        <w:gridCol w:w="3832"/>
        <w:gridCol w:w="4205"/>
      </w:tblGrid>
      <w:tr w:rsidR="002455BD" w:rsidRPr="00147885" w14:paraId="24D188D6" w14:textId="77777777" w:rsidTr="00F746A8">
        <w:trPr>
          <w:cantSplit/>
          <w:trHeight w:val="973"/>
          <w:tblHeader/>
        </w:trPr>
        <w:tc>
          <w:tcPr>
            <w:tcW w:w="408" w:type="pct"/>
            <w:hideMark/>
          </w:tcPr>
          <w:p w14:paraId="21DF2671" w14:textId="19FD2828" w:rsidR="002455BD" w:rsidRPr="00147885" w:rsidRDefault="002455BD" w:rsidP="00147885">
            <w:pPr>
              <w:pStyle w:val="TableParagraph"/>
              <w:rPr>
                <w:rStyle w:val="Strong"/>
              </w:rPr>
            </w:pPr>
            <w:r w:rsidRPr="00147885">
              <w:rPr>
                <w:rStyle w:val="Strong"/>
              </w:rPr>
              <w:t xml:space="preserve">Pathway </w:t>
            </w:r>
          </w:p>
        </w:tc>
        <w:tc>
          <w:tcPr>
            <w:tcW w:w="411" w:type="pct"/>
            <w:hideMark/>
          </w:tcPr>
          <w:p w14:paraId="08D284C3" w14:textId="77777777" w:rsidR="002455BD" w:rsidRPr="00147885" w:rsidRDefault="002455BD" w:rsidP="00147885">
            <w:pPr>
              <w:pStyle w:val="TableParagraph"/>
              <w:rPr>
                <w:rStyle w:val="Strong"/>
              </w:rPr>
            </w:pPr>
            <w:r w:rsidRPr="00147885">
              <w:rPr>
                <w:rStyle w:val="Strong"/>
              </w:rPr>
              <w:t>Component</w:t>
            </w:r>
          </w:p>
        </w:tc>
        <w:tc>
          <w:tcPr>
            <w:tcW w:w="1662" w:type="pct"/>
            <w:hideMark/>
          </w:tcPr>
          <w:p w14:paraId="0F3BD9CD" w14:textId="4B42FE6C" w:rsidR="00147ABD" w:rsidRDefault="002455BD" w:rsidP="00147885">
            <w:pPr>
              <w:pStyle w:val="TableParagraph"/>
              <w:rPr>
                <w:rStyle w:val="Strong"/>
              </w:rPr>
            </w:pPr>
            <w:r w:rsidRPr="00147885">
              <w:rPr>
                <w:rStyle w:val="Strong"/>
              </w:rPr>
              <w:t xml:space="preserve">Example Processes </w:t>
            </w:r>
            <w:r w:rsidR="004E7650">
              <w:rPr>
                <w:rStyle w:val="Strong"/>
              </w:rPr>
              <w:t>T</w:t>
            </w:r>
            <w:r w:rsidRPr="00147885">
              <w:rPr>
                <w:rStyle w:val="Strong"/>
              </w:rPr>
              <w:t>o Consider</w:t>
            </w:r>
          </w:p>
          <w:p w14:paraId="061F405A" w14:textId="77777777" w:rsidR="002455BD" w:rsidRPr="00147ABD" w:rsidRDefault="002455BD" w:rsidP="00147885">
            <w:pPr>
              <w:pStyle w:val="TableParagraph"/>
              <w:rPr>
                <w:rStyle w:val="Strong"/>
                <w:b w:val="0"/>
                <w:i/>
              </w:rPr>
            </w:pPr>
            <w:r w:rsidRPr="00147ABD">
              <w:rPr>
                <w:rStyle w:val="Strong"/>
                <w:b w:val="0"/>
                <w:i/>
              </w:rPr>
              <w:t>As a team, go through each component and discuss what approach best fits your hospital. It may be an option other than what is listed below.</w:t>
            </w:r>
          </w:p>
        </w:tc>
        <w:tc>
          <w:tcPr>
            <w:tcW w:w="774" w:type="pct"/>
            <w:hideMark/>
          </w:tcPr>
          <w:p w14:paraId="77F47CFB" w14:textId="77777777" w:rsidR="002455BD" w:rsidRPr="00147885" w:rsidRDefault="002455BD" w:rsidP="00147885">
            <w:pPr>
              <w:pStyle w:val="TableParagraph"/>
              <w:rPr>
                <w:rStyle w:val="Strong"/>
              </w:rPr>
            </w:pPr>
            <w:r w:rsidRPr="00147885">
              <w:rPr>
                <w:rStyle w:val="Strong"/>
              </w:rPr>
              <w:t>Team Decisions/Notes</w:t>
            </w:r>
          </w:p>
          <w:p w14:paraId="796BA38A" w14:textId="77777777" w:rsidR="002455BD" w:rsidRPr="00147ABD" w:rsidRDefault="002455BD" w:rsidP="00147885">
            <w:pPr>
              <w:pStyle w:val="TableParagraph"/>
              <w:rPr>
                <w:rStyle w:val="Strong"/>
                <w:b w:val="0"/>
                <w:i/>
              </w:rPr>
            </w:pPr>
            <w:r w:rsidRPr="00147ABD">
              <w:rPr>
                <w:rStyle w:val="Strong"/>
                <w:b w:val="0"/>
                <w:i/>
              </w:rPr>
              <w:t>As a team, note exceptions and contraindications to the treatment or medications.</w:t>
            </w:r>
          </w:p>
        </w:tc>
        <w:tc>
          <w:tcPr>
            <w:tcW w:w="832" w:type="pct"/>
            <w:hideMark/>
          </w:tcPr>
          <w:p w14:paraId="316DD6CD" w14:textId="54EE881B" w:rsidR="002455BD" w:rsidRPr="00147885" w:rsidRDefault="00AA140E" w:rsidP="00147885">
            <w:pPr>
              <w:pStyle w:val="TableParagraph"/>
              <w:rPr>
                <w:rStyle w:val="Strong"/>
              </w:rPr>
            </w:pPr>
            <w:r>
              <w:rPr>
                <w:rStyle w:val="Strong"/>
              </w:rPr>
              <w:t xml:space="preserve">Other Available Resources </w:t>
            </w:r>
            <w:r w:rsidR="004E7650">
              <w:rPr>
                <w:rStyle w:val="Strong"/>
              </w:rPr>
              <w:t>and</w:t>
            </w:r>
            <w:r>
              <w:rPr>
                <w:rStyle w:val="Strong"/>
              </w:rPr>
              <w:t xml:space="preserve"> Tips </w:t>
            </w:r>
            <w:r w:rsidR="004E7650">
              <w:rPr>
                <w:rStyle w:val="Strong"/>
              </w:rPr>
              <w:t>T</w:t>
            </w:r>
            <w:r>
              <w:rPr>
                <w:rStyle w:val="Strong"/>
              </w:rPr>
              <w:t>o Consider</w:t>
            </w:r>
          </w:p>
        </w:tc>
        <w:tc>
          <w:tcPr>
            <w:tcW w:w="913" w:type="pct"/>
            <w:hideMark/>
          </w:tcPr>
          <w:p w14:paraId="5DD63F14" w14:textId="77777777" w:rsidR="009F40B9" w:rsidRPr="009F40B9" w:rsidRDefault="009F40B9" w:rsidP="009F40B9">
            <w:pPr>
              <w:pStyle w:val="TableParagraph"/>
              <w:rPr>
                <w:rStyle w:val="Strong"/>
              </w:rPr>
            </w:pPr>
            <w:r w:rsidRPr="009F40B9">
              <w:rPr>
                <w:rStyle w:val="Strong"/>
              </w:rPr>
              <w:t>ISCR Measures</w:t>
            </w:r>
          </w:p>
          <w:p w14:paraId="7F3EBC7A" w14:textId="77777777" w:rsidR="002455BD" w:rsidRPr="00147885"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3A5BCE" w:rsidRPr="00AE595D" w14:paraId="3A33E129" w14:textId="77777777" w:rsidTr="00F746A8">
        <w:trPr>
          <w:cantSplit/>
          <w:trHeight w:val="1610"/>
        </w:trPr>
        <w:tc>
          <w:tcPr>
            <w:tcW w:w="408" w:type="pct"/>
            <w:hideMark/>
          </w:tcPr>
          <w:p w14:paraId="157B3E9B" w14:textId="5AA543E2" w:rsidR="003A5BCE" w:rsidRPr="00147ABD" w:rsidRDefault="00B00577" w:rsidP="00147885">
            <w:pPr>
              <w:pStyle w:val="TableParagraph"/>
              <w:rPr>
                <w:b/>
              </w:rPr>
            </w:pPr>
            <w:r>
              <w:rPr>
                <w:b/>
              </w:rPr>
              <w:t>Hip and Knee</w:t>
            </w:r>
            <w:r w:rsidR="003A5BCE" w:rsidRPr="00147ABD">
              <w:rPr>
                <w:b/>
              </w:rPr>
              <w:t xml:space="preserve"> Replacement Pathway </w:t>
            </w:r>
          </w:p>
        </w:tc>
        <w:tc>
          <w:tcPr>
            <w:tcW w:w="411" w:type="pct"/>
          </w:tcPr>
          <w:p w14:paraId="341D7103" w14:textId="5DE853A4" w:rsidR="003A5BCE" w:rsidRPr="00147ABD" w:rsidRDefault="003A5BCE" w:rsidP="00147885">
            <w:pPr>
              <w:pStyle w:val="TableParagraph"/>
              <w:rPr>
                <w:b/>
              </w:rPr>
            </w:pPr>
            <w:r w:rsidRPr="00147ABD">
              <w:rPr>
                <w:b/>
              </w:rPr>
              <w:t>Intra-articular, Local Infiltration</w:t>
            </w:r>
            <w:r w:rsidR="004E7650">
              <w:rPr>
                <w:b/>
              </w:rPr>
              <w:t>,</w:t>
            </w:r>
            <w:r w:rsidRPr="00147ABD">
              <w:rPr>
                <w:b/>
              </w:rPr>
              <w:t xml:space="preserve"> and Periarticular Injection</w:t>
            </w:r>
          </w:p>
        </w:tc>
        <w:tc>
          <w:tcPr>
            <w:tcW w:w="1662" w:type="pct"/>
          </w:tcPr>
          <w:p w14:paraId="68855C79" w14:textId="77777777" w:rsidR="003A5BCE" w:rsidRPr="00147ABD" w:rsidRDefault="003A5BCE" w:rsidP="00147ABD">
            <w:pPr>
              <w:pStyle w:val="TableParagraph"/>
              <w:spacing w:after="120" w:line="240" w:lineRule="auto"/>
              <w:rPr>
                <w:b/>
                <w:color w:val="000000"/>
              </w:rPr>
            </w:pPr>
            <w:r w:rsidRPr="00147ABD">
              <w:rPr>
                <w:b/>
                <w:color w:val="000000"/>
              </w:rPr>
              <w:t>Recommended approach:</w:t>
            </w:r>
          </w:p>
          <w:p w14:paraId="5F398CBC" w14:textId="35682977" w:rsidR="003A5BCE" w:rsidRPr="00AE595D" w:rsidRDefault="006E7A7F" w:rsidP="00147885">
            <w:pPr>
              <w:pStyle w:val="Bullet1"/>
              <w:rPr>
                <w:color w:val="000000"/>
              </w:rPr>
            </w:pPr>
            <w:r>
              <w:t>Consider i</w:t>
            </w:r>
            <w:r w:rsidR="00622F8B" w:rsidRPr="00622F8B">
              <w:t>ntra-articular injection or local/periarticular infiltration of local analgesics for controlling postoperative pain</w:t>
            </w:r>
            <w:r w:rsidR="00F84FDA" w:rsidRPr="00AE595D">
              <w:t xml:space="preserve"> </w:t>
            </w:r>
            <w:r w:rsidR="003A5BCE" w:rsidRPr="00AE595D">
              <w:t>when regional analgesia is not available</w:t>
            </w:r>
          </w:p>
        </w:tc>
        <w:tc>
          <w:tcPr>
            <w:tcW w:w="774" w:type="pct"/>
          </w:tcPr>
          <w:p w14:paraId="3DD8EF06" w14:textId="6B43EDCB" w:rsidR="003A5BCE" w:rsidRPr="00AE595D" w:rsidRDefault="00C2156C" w:rsidP="00147885">
            <w:pPr>
              <w:pStyle w:val="TableParagraph"/>
            </w:pPr>
            <w:r w:rsidRPr="007C7841">
              <w:rPr>
                <w:rFonts w:eastAsia="Times New Roman" w:cs="Times New Roman"/>
                <w:i/>
                <w:color w:val="000000"/>
              </w:rPr>
              <w:t xml:space="preserve">Enter </w:t>
            </w:r>
            <w:r w:rsidR="004E7650">
              <w:rPr>
                <w:rFonts w:eastAsia="Times New Roman" w:cs="Times New Roman"/>
                <w:i/>
                <w:color w:val="000000"/>
              </w:rPr>
              <w:t xml:space="preserve">team decisions/notes </w:t>
            </w:r>
            <w:r w:rsidRPr="007C7841">
              <w:rPr>
                <w:rFonts w:eastAsia="Times New Roman" w:cs="Times New Roman"/>
                <w:i/>
                <w:color w:val="000000"/>
              </w:rPr>
              <w:t>here</w:t>
            </w:r>
          </w:p>
        </w:tc>
        <w:tc>
          <w:tcPr>
            <w:tcW w:w="832" w:type="pct"/>
          </w:tcPr>
          <w:p w14:paraId="46569424" w14:textId="4A125E09" w:rsidR="003A5BCE" w:rsidRPr="00AE595D" w:rsidRDefault="00CB6C14" w:rsidP="00147885">
            <w:pPr>
              <w:pStyle w:val="TableParagraph"/>
              <w:rPr>
                <w:color w:val="000000"/>
              </w:rPr>
            </w:pPr>
            <w:r w:rsidRPr="00CB6C14">
              <w:rPr>
                <w:i/>
                <w:color w:val="000000"/>
              </w:rPr>
              <w:t>Enter any additional resources and tips recommended by your ISCR team here.</w:t>
            </w:r>
          </w:p>
        </w:tc>
        <w:tc>
          <w:tcPr>
            <w:tcW w:w="913" w:type="pct"/>
          </w:tcPr>
          <w:p w14:paraId="027E168D" w14:textId="77777777" w:rsidR="003A5BCE" w:rsidRPr="00AE595D" w:rsidRDefault="00DA4829" w:rsidP="00147885">
            <w:pPr>
              <w:pStyle w:val="TableParagraph"/>
              <w:rPr>
                <w:color w:val="000000"/>
              </w:rPr>
            </w:pPr>
            <w:r w:rsidRPr="00AE595D">
              <w:t>Multi</w:t>
            </w:r>
            <w:r w:rsidR="00BF5037">
              <w:t>m</w:t>
            </w:r>
            <w:r w:rsidRPr="00AE595D">
              <w:t xml:space="preserve">odal </w:t>
            </w:r>
            <w:r w:rsidR="00BF5037" w:rsidRPr="00AE595D">
              <w:t>pain management</w:t>
            </w:r>
          </w:p>
        </w:tc>
      </w:tr>
    </w:tbl>
    <w:p w14:paraId="68A1FE28" w14:textId="77777777" w:rsidR="004E7650" w:rsidRDefault="004E7650" w:rsidP="004E7650">
      <w:r w:rsidRPr="00AE595D">
        <w:t>Abbreviations:</w:t>
      </w:r>
      <w:r>
        <w:t xml:space="preserve"> ISCR = Improving Surgical Care and Recovery</w:t>
      </w:r>
    </w:p>
    <w:p w14:paraId="7351B5BD" w14:textId="77777777" w:rsidR="00F8173B" w:rsidRPr="00AE595D" w:rsidRDefault="00F8173B" w:rsidP="00AE595D">
      <w:pPr>
        <w:spacing w:after="120" w:line="240" w:lineRule="auto"/>
        <w:rPr>
          <w:b/>
        </w:rPr>
      </w:pPr>
    </w:p>
    <w:p w14:paraId="20B60E52" w14:textId="77777777" w:rsidR="00147885" w:rsidRDefault="00147885">
      <w:pPr>
        <w:spacing w:after="160" w:line="259" w:lineRule="auto"/>
        <w:ind w:left="360" w:hanging="360"/>
        <w:rPr>
          <w:b/>
          <w:bCs/>
          <w:sz w:val="28"/>
          <w:szCs w:val="28"/>
        </w:rPr>
      </w:pPr>
      <w:r>
        <w:br w:type="page"/>
      </w:r>
    </w:p>
    <w:p w14:paraId="0350209B" w14:textId="733AA846" w:rsidR="00F8173B" w:rsidRDefault="00F8173B">
      <w:pPr>
        <w:pStyle w:val="Heading2"/>
      </w:pPr>
      <w:bookmarkStart w:id="36" w:name="_Toc117000815"/>
      <w:r w:rsidRPr="00AE595D">
        <w:lastRenderedPageBreak/>
        <w:t>Postoperative</w:t>
      </w:r>
      <w:r w:rsidR="00147885" w:rsidRPr="00147885">
        <w:t xml:space="preserve"> </w:t>
      </w:r>
      <w:r w:rsidR="007E13E2">
        <w:t>Venous Thromboembolism</w:t>
      </w:r>
      <w:r w:rsidR="007E13E2" w:rsidRPr="00147ABD">
        <w:t xml:space="preserve"> </w:t>
      </w:r>
      <w:r w:rsidR="00147885" w:rsidRPr="00147885">
        <w:t>Prophylaxis</w:t>
      </w:r>
      <w:bookmarkEnd w:id="36"/>
      <w:r w:rsidRPr="00AE595D">
        <w:t xml:space="preserve"> </w:t>
      </w:r>
    </w:p>
    <w:p w14:paraId="33FF925B" w14:textId="5B939A74" w:rsidR="00147885" w:rsidRPr="00147885" w:rsidRDefault="00147885" w:rsidP="00147885">
      <w:pPr>
        <w:pStyle w:val="BodyText1"/>
      </w:pPr>
      <w:r w:rsidRPr="00147885">
        <w:t xml:space="preserve">Combined mechanical and chemoprophylaxis for </w:t>
      </w:r>
      <w:r w:rsidR="0055266A">
        <w:t>v</w:t>
      </w:r>
      <w:r w:rsidR="007E13E2" w:rsidRPr="007E13E2">
        <w:t xml:space="preserve">enous </w:t>
      </w:r>
      <w:r w:rsidR="007E13E2">
        <w:t>t</w:t>
      </w:r>
      <w:r w:rsidR="007E13E2" w:rsidRPr="007E13E2">
        <w:t xml:space="preserve">hromboembolism </w:t>
      </w:r>
      <w:r w:rsidR="007E13E2">
        <w:t>(</w:t>
      </w:r>
      <w:r w:rsidRPr="00147885">
        <w:t>VTE</w:t>
      </w:r>
      <w:r w:rsidR="007E13E2">
        <w:t>)</w:t>
      </w:r>
      <w:r w:rsidRPr="00147885">
        <w:t xml:space="preserve"> is recommended for the duration of hospitalization in all patients. Postoperative chemoprophylaxis should begin within 24 hours of surgery. </w:t>
      </w:r>
      <w:r w:rsidRPr="00616383">
        <w:rPr>
          <w:b/>
        </w:rPr>
        <w:t xml:space="preserve">No consensus exists regarding optimal regimen and duration of therapy, but at least 28 days total duration is a common target for patients undergoing surgery for colorectal cancer, </w:t>
      </w:r>
      <w:r w:rsidR="006E7A7F">
        <w:rPr>
          <w:b/>
        </w:rPr>
        <w:t>hip and knee</w:t>
      </w:r>
      <w:r w:rsidRPr="00616383">
        <w:rPr>
          <w:b/>
        </w:rPr>
        <w:t xml:space="preserve"> replacement, hip fracture, and gynecologic malignancies.</w:t>
      </w:r>
      <w:r w:rsidRPr="00147885">
        <w:t xml:space="preserve"> Options include low molecular weight heparin, vitamin K antagonists, direct oral anticoagulants</w:t>
      </w:r>
      <w:r w:rsidR="004E7650">
        <w:t>,</w:t>
      </w:r>
      <w:r w:rsidRPr="00147885">
        <w:t xml:space="preserve"> or aspirin (at least 325 mg BID</w:t>
      </w:r>
      <w:r w:rsidR="002D7076">
        <w:t xml:space="preserve"> [twice per day]</w:t>
      </w:r>
      <w:r w:rsidRPr="00147885">
        <w:t>)</w:t>
      </w:r>
      <w:r w:rsidR="004E7650">
        <w:t>.</w:t>
      </w:r>
    </w:p>
    <w:p w14:paraId="6E9E81CD" w14:textId="0E6D9A60" w:rsidR="00147885" w:rsidRPr="00147885" w:rsidRDefault="00147885" w:rsidP="00147885">
      <w:pPr>
        <w:pStyle w:val="Bullet1"/>
      </w:pPr>
      <w:r w:rsidRPr="00147885">
        <w:rPr>
          <w:i/>
        </w:rPr>
        <w:t xml:space="preserve">Considerations for </w:t>
      </w:r>
      <w:r w:rsidR="004E7650">
        <w:rPr>
          <w:i/>
        </w:rPr>
        <w:t>emergency general surgery (</w:t>
      </w:r>
      <w:r w:rsidR="00EA34A5">
        <w:rPr>
          <w:i/>
        </w:rPr>
        <w:t>EGS</w:t>
      </w:r>
      <w:r w:rsidR="004E7650">
        <w:rPr>
          <w:i/>
        </w:rPr>
        <w:t>)</w:t>
      </w:r>
      <w:r w:rsidR="00EA34A5">
        <w:rPr>
          <w:i/>
        </w:rPr>
        <w:t xml:space="preserve"> (</w:t>
      </w:r>
      <w:r w:rsidR="00720489">
        <w:rPr>
          <w:i/>
        </w:rPr>
        <w:t>a</w:t>
      </w:r>
      <w:r w:rsidRPr="00147885">
        <w:rPr>
          <w:i/>
        </w:rPr>
        <w:t>pp</w:t>
      </w:r>
      <w:r w:rsidR="00EA34A5">
        <w:rPr>
          <w:i/>
        </w:rPr>
        <w:t>endectomy</w:t>
      </w:r>
      <w:r w:rsidRPr="00147885">
        <w:rPr>
          <w:i/>
        </w:rPr>
        <w:t>/</w:t>
      </w:r>
      <w:r w:rsidR="00720489">
        <w:rPr>
          <w:i/>
        </w:rPr>
        <w:t>c</w:t>
      </w:r>
      <w:r w:rsidR="00EA34A5" w:rsidRPr="00147885">
        <w:rPr>
          <w:i/>
        </w:rPr>
        <w:t>hole</w:t>
      </w:r>
      <w:r w:rsidR="00EA34A5">
        <w:rPr>
          <w:i/>
        </w:rPr>
        <w:t>cystectomy</w:t>
      </w:r>
      <w:r w:rsidRPr="00147885">
        <w:rPr>
          <w:i/>
        </w:rPr>
        <w:t xml:space="preserve"> procedures</w:t>
      </w:r>
      <w:r w:rsidR="00EA34A5">
        <w:rPr>
          <w:i/>
        </w:rPr>
        <w:t>)</w:t>
      </w:r>
      <w:r w:rsidRPr="00147885">
        <w:t>: Low-risk patients undergoing appendectomy and cholecystectomy may be appropriate for mechanical prophylaxis alone</w:t>
      </w:r>
      <w:r w:rsidRPr="00F746A8">
        <w:rPr>
          <w:vertAlign w:val="superscript"/>
        </w:rPr>
        <w:t>1</w:t>
      </w:r>
    </w:p>
    <w:p w14:paraId="51E69706" w14:textId="77777777" w:rsidR="00147885" w:rsidRPr="00AE595D" w:rsidRDefault="00147885" w:rsidP="00147885">
      <w:pPr>
        <w:pStyle w:val="Bullet1"/>
      </w:pPr>
      <w:r w:rsidRPr="00147885">
        <w:rPr>
          <w:i/>
        </w:rPr>
        <w:t xml:space="preserve">Considerations for </w:t>
      </w:r>
      <w:r w:rsidR="00EA34A5">
        <w:rPr>
          <w:i/>
        </w:rPr>
        <w:t>EGS (</w:t>
      </w:r>
      <w:r w:rsidRPr="00147885">
        <w:rPr>
          <w:i/>
        </w:rPr>
        <w:t>major abdominal procedures</w:t>
      </w:r>
      <w:r w:rsidR="00EA34A5">
        <w:rPr>
          <w:i/>
        </w:rPr>
        <w:t>)</w:t>
      </w:r>
      <w:r w:rsidRPr="00147885">
        <w:t>: Optimal postoperative chemoprophylaxis should ideally begin within 12 hours of surgery.</w:t>
      </w:r>
    </w:p>
    <w:tbl>
      <w:tblPr>
        <w:tblStyle w:val="GridTable1Light1"/>
        <w:tblW w:w="5000" w:type="pct"/>
        <w:tblLook w:val="0600" w:firstRow="0" w:lastRow="0" w:firstColumn="0" w:lastColumn="0" w:noHBand="1" w:noVBand="1"/>
      </w:tblPr>
      <w:tblGrid>
        <w:gridCol w:w="1866"/>
        <w:gridCol w:w="1959"/>
        <w:gridCol w:w="7371"/>
        <w:gridCol w:w="3409"/>
        <w:gridCol w:w="4307"/>
        <w:gridCol w:w="4118"/>
      </w:tblGrid>
      <w:tr w:rsidR="004B3D41" w:rsidRPr="00147885" w14:paraId="37FE22A1" w14:textId="77777777" w:rsidTr="00FC726A">
        <w:trPr>
          <w:cantSplit/>
          <w:trHeight w:val="973"/>
          <w:tblHeader/>
        </w:trPr>
        <w:tc>
          <w:tcPr>
            <w:tcW w:w="405" w:type="pct"/>
            <w:hideMark/>
          </w:tcPr>
          <w:p w14:paraId="163C9D45" w14:textId="4F0981F6" w:rsidR="004B3D41" w:rsidRPr="00147885" w:rsidRDefault="004B3D41" w:rsidP="00147885">
            <w:pPr>
              <w:pStyle w:val="TableParagraph"/>
              <w:rPr>
                <w:rStyle w:val="Strong"/>
              </w:rPr>
            </w:pPr>
            <w:r w:rsidRPr="00147885">
              <w:rPr>
                <w:rStyle w:val="Strong"/>
              </w:rPr>
              <w:t xml:space="preserve">Pathway </w:t>
            </w:r>
          </w:p>
        </w:tc>
        <w:tc>
          <w:tcPr>
            <w:tcW w:w="425" w:type="pct"/>
            <w:hideMark/>
          </w:tcPr>
          <w:p w14:paraId="2E6A1C9C" w14:textId="77777777" w:rsidR="004B3D41" w:rsidRPr="00147885" w:rsidRDefault="004B3D41" w:rsidP="00147885">
            <w:pPr>
              <w:pStyle w:val="TableParagraph"/>
              <w:rPr>
                <w:rStyle w:val="Strong"/>
              </w:rPr>
            </w:pPr>
            <w:r w:rsidRPr="00147885">
              <w:rPr>
                <w:rStyle w:val="Strong"/>
              </w:rPr>
              <w:t>Component</w:t>
            </w:r>
          </w:p>
        </w:tc>
        <w:tc>
          <w:tcPr>
            <w:tcW w:w="1600" w:type="pct"/>
            <w:hideMark/>
          </w:tcPr>
          <w:p w14:paraId="37D85D85" w14:textId="48993F70" w:rsidR="00147ABD" w:rsidRDefault="004B3D41" w:rsidP="00147885">
            <w:pPr>
              <w:pStyle w:val="TableParagraph"/>
              <w:rPr>
                <w:rStyle w:val="Strong"/>
              </w:rPr>
            </w:pPr>
            <w:r w:rsidRPr="00147885">
              <w:rPr>
                <w:rStyle w:val="Strong"/>
              </w:rPr>
              <w:t xml:space="preserve">Example Processes </w:t>
            </w:r>
            <w:r w:rsidR="0055266A">
              <w:rPr>
                <w:rStyle w:val="Strong"/>
              </w:rPr>
              <w:t>T</w:t>
            </w:r>
            <w:r w:rsidRPr="00147885">
              <w:rPr>
                <w:rStyle w:val="Strong"/>
              </w:rPr>
              <w:t>o Consider</w:t>
            </w:r>
          </w:p>
          <w:p w14:paraId="028890C9" w14:textId="77777777" w:rsidR="004B3D41" w:rsidRPr="00147ABD" w:rsidRDefault="004B3D41" w:rsidP="00147885">
            <w:pPr>
              <w:pStyle w:val="TableParagraph"/>
              <w:rPr>
                <w:rStyle w:val="Strong"/>
                <w:b w:val="0"/>
                <w:i/>
              </w:rPr>
            </w:pPr>
            <w:r w:rsidRPr="00147ABD">
              <w:rPr>
                <w:rStyle w:val="Strong"/>
                <w:b w:val="0"/>
                <w:i/>
              </w:rPr>
              <w:t>As a team, go through each component and discuss what approach best fits your hospital. It may be an option other than what is listed below.</w:t>
            </w:r>
          </w:p>
        </w:tc>
        <w:tc>
          <w:tcPr>
            <w:tcW w:w="740" w:type="pct"/>
            <w:hideMark/>
          </w:tcPr>
          <w:p w14:paraId="4C271DD9" w14:textId="77777777" w:rsidR="004B3D41" w:rsidRPr="00147885" w:rsidRDefault="004B3D41" w:rsidP="00147885">
            <w:pPr>
              <w:pStyle w:val="TableParagraph"/>
              <w:rPr>
                <w:rStyle w:val="Strong"/>
              </w:rPr>
            </w:pPr>
            <w:r w:rsidRPr="00147885">
              <w:rPr>
                <w:rStyle w:val="Strong"/>
              </w:rPr>
              <w:t>Team Decisions/Notes</w:t>
            </w:r>
          </w:p>
          <w:p w14:paraId="13B0FBD5" w14:textId="77777777" w:rsidR="004B3D41" w:rsidRPr="00147ABD" w:rsidRDefault="004B3D41" w:rsidP="00147885">
            <w:pPr>
              <w:pStyle w:val="TableParagraph"/>
              <w:rPr>
                <w:rStyle w:val="Strong"/>
                <w:b w:val="0"/>
                <w:i/>
              </w:rPr>
            </w:pPr>
            <w:r w:rsidRPr="00147ABD">
              <w:rPr>
                <w:rStyle w:val="Strong"/>
                <w:b w:val="0"/>
                <w:i/>
              </w:rPr>
              <w:t>As a team, note exceptions and contraindications to the treatment or medications.</w:t>
            </w:r>
          </w:p>
        </w:tc>
        <w:tc>
          <w:tcPr>
            <w:tcW w:w="935" w:type="pct"/>
            <w:hideMark/>
          </w:tcPr>
          <w:p w14:paraId="07B9D760" w14:textId="0067567A" w:rsidR="004B3D41" w:rsidRPr="00147885" w:rsidRDefault="00AA140E" w:rsidP="00147885">
            <w:pPr>
              <w:pStyle w:val="TableParagraph"/>
              <w:rPr>
                <w:rStyle w:val="Strong"/>
              </w:rPr>
            </w:pPr>
            <w:r>
              <w:rPr>
                <w:rStyle w:val="Strong"/>
              </w:rPr>
              <w:t xml:space="preserve">Other Available Resources </w:t>
            </w:r>
            <w:r w:rsidR="004E7650">
              <w:rPr>
                <w:rStyle w:val="Strong"/>
              </w:rPr>
              <w:t>and</w:t>
            </w:r>
            <w:r>
              <w:rPr>
                <w:rStyle w:val="Strong"/>
              </w:rPr>
              <w:t xml:space="preserve"> Tips </w:t>
            </w:r>
            <w:r w:rsidR="004E7650">
              <w:rPr>
                <w:rStyle w:val="Strong"/>
              </w:rPr>
              <w:t>T</w:t>
            </w:r>
            <w:r>
              <w:rPr>
                <w:rStyle w:val="Strong"/>
              </w:rPr>
              <w:t>o Consider</w:t>
            </w:r>
          </w:p>
        </w:tc>
        <w:tc>
          <w:tcPr>
            <w:tcW w:w="894" w:type="pct"/>
            <w:hideMark/>
          </w:tcPr>
          <w:p w14:paraId="7F882BCD" w14:textId="77777777" w:rsidR="009F40B9" w:rsidRPr="009F40B9" w:rsidRDefault="009F40B9" w:rsidP="009F40B9">
            <w:pPr>
              <w:pStyle w:val="TableParagraph"/>
              <w:rPr>
                <w:rStyle w:val="Strong"/>
              </w:rPr>
            </w:pPr>
            <w:r w:rsidRPr="009F40B9">
              <w:rPr>
                <w:rStyle w:val="Strong"/>
              </w:rPr>
              <w:t>ISCR Measures</w:t>
            </w:r>
          </w:p>
          <w:p w14:paraId="260564F0" w14:textId="77777777" w:rsidR="004B3D41" w:rsidRPr="00147885" w:rsidRDefault="009F40B9" w:rsidP="009F40B9">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7C984BBD" w14:textId="77777777" w:rsidTr="00FC726A">
        <w:trPr>
          <w:cantSplit/>
          <w:trHeight w:val="334"/>
        </w:trPr>
        <w:tc>
          <w:tcPr>
            <w:tcW w:w="405" w:type="pct"/>
            <w:hideMark/>
          </w:tcPr>
          <w:p w14:paraId="2B83535B" w14:textId="77777777" w:rsidR="005956DE" w:rsidRPr="00147ABD" w:rsidRDefault="00616383" w:rsidP="00147885">
            <w:pPr>
              <w:pStyle w:val="TableParagraph"/>
              <w:rPr>
                <w:b/>
              </w:rPr>
            </w:pPr>
            <w:r w:rsidRPr="00147ABD">
              <w:rPr>
                <w:b/>
              </w:rPr>
              <w:t>All ISCR Pathways</w:t>
            </w:r>
            <w:r w:rsidR="005956DE" w:rsidRPr="00147ABD">
              <w:rPr>
                <w:b/>
              </w:rPr>
              <w:t xml:space="preserve"> </w:t>
            </w:r>
          </w:p>
        </w:tc>
        <w:tc>
          <w:tcPr>
            <w:tcW w:w="425" w:type="pct"/>
          </w:tcPr>
          <w:p w14:paraId="68218DDE" w14:textId="176D38C0" w:rsidR="005956DE" w:rsidRPr="00147ABD" w:rsidRDefault="005956DE" w:rsidP="00147885">
            <w:pPr>
              <w:pStyle w:val="TableParagraph"/>
              <w:rPr>
                <w:b/>
              </w:rPr>
            </w:pPr>
            <w:r w:rsidRPr="00147ABD">
              <w:rPr>
                <w:b/>
              </w:rPr>
              <w:t>Postoperative</w:t>
            </w:r>
            <w:r w:rsidR="002D7076">
              <w:rPr>
                <w:b/>
              </w:rPr>
              <w:t xml:space="preserve"> Venous Thromboembolism</w:t>
            </w:r>
            <w:r w:rsidRPr="00147ABD">
              <w:rPr>
                <w:b/>
              </w:rPr>
              <w:t xml:space="preserve"> </w:t>
            </w:r>
            <w:r w:rsidR="002D7076">
              <w:rPr>
                <w:b/>
              </w:rPr>
              <w:t>(</w:t>
            </w:r>
            <w:r w:rsidRPr="00147ABD">
              <w:rPr>
                <w:b/>
              </w:rPr>
              <w:t>VTE</w:t>
            </w:r>
            <w:r w:rsidR="002D7076">
              <w:rPr>
                <w:b/>
              </w:rPr>
              <w:t>)</w:t>
            </w:r>
            <w:r w:rsidRPr="00147ABD">
              <w:rPr>
                <w:b/>
              </w:rPr>
              <w:t xml:space="preserve"> Prophylaxis</w:t>
            </w:r>
          </w:p>
        </w:tc>
        <w:tc>
          <w:tcPr>
            <w:tcW w:w="1600" w:type="pct"/>
          </w:tcPr>
          <w:p w14:paraId="6A4C663F" w14:textId="77777777" w:rsidR="00EB7531" w:rsidRPr="00147ABD" w:rsidRDefault="00EB7531" w:rsidP="00526834">
            <w:pPr>
              <w:pStyle w:val="TableParagraph"/>
              <w:spacing w:after="120" w:line="240" w:lineRule="auto"/>
              <w:rPr>
                <w:rFonts w:eastAsia="Times New Roman" w:cs="Times New Roman"/>
                <w:b/>
                <w:color w:val="000000"/>
              </w:rPr>
            </w:pPr>
            <w:r w:rsidRPr="00147ABD">
              <w:rPr>
                <w:rFonts w:eastAsia="Times New Roman" w:cs="Times New Roman"/>
                <w:b/>
                <w:color w:val="000000"/>
              </w:rPr>
              <w:t>Choose your approach:</w:t>
            </w:r>
          </w:p>
          <w:p w14:paraId="0FFB6E9C" w14:textId="77777777" w:rsidR="00616383" w:rsidRPr="00616383" w:rsidRDefault="00616383" w:rsidP="00616383">
            <w:pPr>
              <w:pStyle w:val="Bullet1"/>
            </w:pPr>
            <w:r w:rsidRPr="00616383">
              <w:t>Use a risk assessment tool to stratify VTE risk</w:t>
            </w:r>
            <w:r w:rsidRPr="00616383">
              <w:rPr>
                <w:vertAlign w:val="superscript"/>
              </w:rPr>
              <w:t>2</w:t>
            </w:r>
          </w:p>
          <w:p w14:paraId="3BCF037B" w14:textId="5426DA98" w:rsidR="00616383" w:rsidRPr="00616383" w:rsidRDefault="00616383" w:rsidP="00616383">
            <w:pPr>
              <w:pStyle w:val="Bullet1"/>
            </w:pPr>
            <w:r w:rsidRPr="00616383">
              <w:t>Patients with 0</w:t>
            </w:r>
            <w:r w:rsidR="004E7650">
              <w:rPr>
                <w:rFonts w:cstheme="minorHAnsi"/>
              </w:rPr>
              <w:t>–</w:t>
            </w:r>
            <w:r w:rsidRPr="00616383">
              <w:t>1 risk factors and short operative time may be candidates for mechanical prophylaxis alone</w:t>
            </w:r>
          </w:p>
          <w:p w14:paraId="0FC550FD" w14:textId="719CCDF1" w:rsidR="00616383" w:rsidRPr="00616383" w:rsidRDefault="00616383" w:rsidP="00616383">
            <w:pPr>
              <w:pStyle w:val="Bullet1"/>
            </w:pPr>
            <w:r w:rsidRPr="00616383">
              <w:t>Patients with 2+ risk factors should receive chem</w:t>
            </w:r>
            <w:r w:rsidR="00C10BD8">
              <w:t>o</w:t>
            </w:r>
            <w:r w:rsidRPr="00616383">
              <w:t>prophylaxis with one of the following:</w:t>
            </w:r>
          </w:p>
          <w:p w14:paraId="1FC0C271" w14:textId="77777777" w:rsidR="00616383" w:rsidRPr="00616383" w:rsidRDefault="00616383" w:rsidP="00616383">
            <w:pPr>
              <w:pStyle w:val="bullet2"/>
            </w:pPr>
            <w:r w:rsidRPr="00616383">
              <w:t>Heparin</w:t>
            </w:r>
            <w:r>
              <w:t>*</w:t>
            </w:r>
            <w:r w:rsidRPr="00616383">
              <w:t xml:space="preserve"> </w:t>
            </w:r>
          </w:p>
          <w:p w14:paraId="40F03C4C" w14:textId="77777777" w:rsidR="00616383" w:rsidRDefault="00616383" w:rsidP="00616383">
            <w:pPr>
              <w:pStyle w:val="bullet2"/>
            </w:pPr>
            <w:r w:rsidRPr="00616383">
              <w:t>Low molecular weight heparin</w:t>
            </w:r>
            <w:r>
              <w:t>*</w:t>
            </w:r>
            <w:r w:rsidRPr="00616383">
              <w:t xml:space="preserve"> </w:t>
            </w:r>
          </w:p>
          <w:p w14:paraId="5B4601E1" w14:textId="7119365C" w:rsidR="00EB7531" w:rsidRPr="00AE595D" w:rsidRDefault="00616383" w:rsidP="00616383">
            <w:pPr>
              <w:pStyle w:val="bullet2"/>
              <w:rPr>
                <w:rFonts w:eastAsia="Times New Roman" w:cs="Times New Roman"/>
                <w:color w:val="000000"/>
              </w:rPr>
            </w:pPr>
            <w:r w:rsidRPr="00AE595D">
              <w:t>Options</w:t>
            </w:r>
            <w:r>
              <w:t xml:space="preserve"> may also</w:t>
            </w:r>
            <w:r w:rsidRPr="00AE595D">
              <w:t xml:space="preserve"> include vitamin K antagonists, direct oral anticoagulants or aspirin (at least 325 mg </w:t>
            </w:r>
            <w:r w:rsidR="002D7076">
              <w:t>twice per day [</w:t>
            </w:r>
            <w:r w:rsidRPr="00AE595D">
              <w:t>BID</w:t>
            </w:r>
            <w:r w:rsidR="002D7076">
              <w:t>]</w:t>
            </w:r>
            <w:r>
              <w:t xml:space="preserve"> for aspirin</w:t>
            </w:r>
            <w:r w:rsidRPr="00AE595D">
              <w:t>).</w:t>
            </w:r>
          </w:p>
          <w:p w14:paraId="27C2FF83" w14:textId="5A0AC820" w:rsidR="005956DE" w:rsidRPr="00AE595D" w:rsidRDefault="00EB7531" w:rsidP="00147885">
            <w:pPr>
              <w:pStyle w:val="TableParagraph"/>
              <w:rPr>
                <w:rFonts w:eastAsia="Times New Roman" w:cs="Times New Roman"/>
                <w:color w:val="000000"/>
              </w:rPr>
            </w:pPr>
            <w:r w:rsidRPr="00AE595D">
              <w:rPr>
                <w:rFonts w:eastAsia="Times New Roman" w:cs="Times New Roman"/>
                <w:color w:val="000000"/>
              </w:rPr>
              <w:t>*Consider increasing dose in obese patients</w:t>
            </w:r>
            <w:r w:rsidR="00616383">
              <w:rPr>
                <w:rFonts w:eastAsia="Times New Roman" w:cs="Times New Roman"/>
                <w:color w:val="000000"/>
              </w:rPr>
              <w:t xml:space="preserve"> with </w:t>
            </w:r>
            <w:r w:rsidR="002D7076">
              <w:rPr>
                <w:rFonts w:eastAsia="Times New Roman" w:cs="Times New Roman"/>
                <w:color w:val="000000"/>
              </w:rPr>
              <w:t>body mass index (</w:t>
            </w:r>
            <w:r w:rsidR="00616383">
              <w:rPr>
                <w:rFonts w:eastAsia="Times New Roman" w:cs="Times New Roman"/>
                <w:color w:val="000000"/>
              </w:rPr>
              <w:t>BMI</w:t>
            </w:r>
            <w:r w:rsidR="002D7076">
              <w:rPr>
                <w:rFonts w:eastAsia="Times New Roman" w:cs="Times New Roman"/>
                <w:color w:val="000000"/>
              </w:rPr>
              <w:t>)</w:t>
            </w:r>
            <w:r w:rsidR="00616383">
              <w:rPr>
                <w:rFonts w:eastAsia="Times New Roman" w:cs="Times New Roman"/>
                <w:color w:val="000000"/>
              </w:rPr>
              <w:t xml:space="preserve"> &gt; 40</w:t>
            </w:r>
          </w:p>
        </w:tc>
        <w:tc>
          <w:tcPr>
            <w:tcW w:w="740" w:type="pct"/>
          </w:tcPr>
          <w:p w14:paraId="7ED11835" w14:textId="27DD350F" w:rsidR="005956DE" w:rsidRPr="00AE595D" w:rsidRDefault="00C2156C" w:rsidP="00147885">
            <w:pPr>
              <w:pStyle w:val="TableParagraph"/>
              <w:rPr>
                <w:rFonts w:eastAsia="Times New Roman" w:cs="Times New Roman"/>
                <w:color w:val="000000"/>
              </w:rPr>
            </w:pPr>
            <w:r w:rsidRPr="007C7841">
              <w:rPr>
                <w:rFonts w:eastAsia="Times New Roman" w:cs="Times New Roman"/>
                <w:i/>
                <w:color w:val="000000"/>
              </w:rPr>
              <w:t xml:space="preserve">Enter </w:t>
            </w:r>
            <w:r w:rsidR="004E7650">
              <w:rPr>
                <w:rFonts w:eastAsia="Times New Roman" w:cs="Times New Roman"/>
                <w:i/>
                <w:color w:val="000000"/>
              </w:rPr>
              <w:t xml:space="preserve">team decisions/notes </w:t>
            </w:r>
            <w:r w:rsidRPr="007C7841">
              <w:rPr>
                <w:rFonts w:eastAsia="Times New Roman" w:cs="Times New Roman"/>
                <w:i/>
                <w:color w:val="000000"/>
              </w:rPr>
              <w:t>here</w:t>
            </w:r>
          </w:p>
        </w:tc>
        <w:tc>
          <w:tcPr>
            <w:tcW w:w="935" w:type="pct"/>
          </w:tcPr>
          <w:p w14:paraId="369A9E5E" w14:textId="44D187F3" w:rsidR="00EA34A5" w:rsidRPr="0019570D" w:rsidRDefault="003023A5" w:rsidP="00EA34A5">
            <w:pPr>
              <w:spacing w:after="120" w:line="240" w:lineRule="auto"/>
              <w:rPr>
                <w:rFonts w:eastAsia="Times New Roman" w:cs="Times New Roman"/>
                <w:color w:val="000000"/>
              </w:rPr>
            </w:pPr>
            <w:r>
              <w:rPr>
                <w:b/>
                <w:color w:val="000000"/>
              </w:rPr>
              <w:t>Tip</w:t>
            </w:r>
            <w:r w:rsidR="00616383" w:rsidRPr="00147ABD">
              <w:rPr>
                <w:b/>
                <w:color w:val="000000"/>
              </w:rPr>
              <w:t>:</w:t>
            </w:r>
            <w:r w:rsidR="00616383" w:rsidRPr="00AE595D">
              <w:rPr>
                <w:color w:val="000000"/>
              </w:rPr>
              <w:t xml:space="preserve"> Familiarize the care team with </w:t>
            </w:r>
            <w:hyperlink r:id="rId20" w:history="1">
              <w:r w:rsidR="00EA34A5" w:rsidRPr="0019570D">
                <w:rPr>
                  <w:rStyle w:val="Hyperlink"/>
                  <w:rFonts w:eastAsia="Times New Roman" w:cs="Times New Roman"/>
                </w:rPr>
                <w:t xml:space="preserve"> risk assessment tools</w:t>
              </w:r>
            </w:hyperlink>
            <w:r w:rsidR="00EA34A5">
              <w:rPr>
                <w:rStyle w:val="Hyperlink"/>
                <w:rFonts w:eastAsia="Times New Roman" w:cs="Times New Roman"/>
              </w:rPr>
              <w:t xml:space="preserve"> (e.g., </w:t>
            </w:r>
            <w:hyperlink r:id="rId21" w:history="1">
              <w:proofErr w:type="spellStart"/>
              <w:r w:rsidR="00EA34A5" w:rsidRPr="009A09E0">
                <w:rPr>
                  <w:rStyle w:val="Hyperlink"/>
                  <w:rFonts w:eastAsia="Times New Roman" w:cs="Times New Roman"/>
                </w:rPr>
                <w:t>Caprini</w:t>
              </w:r>
              <w:proofErr w:type="spellEnd"/>
            </w:hyperlink>
            <w:r w:rsidR="00EA34A5">
              <w:rPr>
                <w:rStyle w:val="Hyperlink"/>
                <w:rFonts w:eastAsia="Times New Roman" w:cs="Times New Roman"/>
              </w:rPr>
              <w:t xml:space="preserve"> or Padua)</w:t>
            </w:r>
            <w:r w:rsidR="008A4CA8">
              <w:rPr>
                <w:rStyle w:val="Hyperlink"/>
                <w:rFonts w:eastAsia="Times New Roman" w:cs="Times New Roman"/>
              </w:rPr>
              <w:t>.</w:t>
            </w:r>
            <w:r w:rsidR="00EA34A5">
              <w:rPr>
                <w:color w:val="000000"/>
                <w:vertAlign w:val="superscript"/>
              </w:rPr>
              <w:t>2</w:t>
            </w:r>
            <w:r w:rsidR="00EA34A5">
              <w:rPr>
                <w:rFonts w:eastAsia="Times New Roman" w:cs="Times New Roman"/>
                <w:color w:val="000000"/>
                <w:vertAlign w:val="superscript"/>
              </w:rPr>
              <w:t xml:space="preserve"> </w:t>
            </w:r>
          </w:p>
          <w:p w14:paraId="64BA5264" w14:textId="346292A4" w:rsidR="00616383" w:rsidRDefault="00616383" w:rsidP="00147885">
            <w:pPr>
              <w:pStyle w:val="TableParagraph"/>
              <w:rPr>
                <w:rFonts w:eastAsia="Times New Roman" w:cs="Times New Roman"/>
              </w:rPr>
            </w:pPr>
            <w:r w:rsidRPr="00AE595D">
              <w:rPr>
                <w:color w:val="000000"/>
              </w:rPr>
              <w:t xml:space="preserve"> </w:t>
            </w:r>
          </w:p>
          <w:p w14:paraId="5AF7A2CA" w14:textId="44A06FD9" w:rsidR="00EB7531" w:rsidRPr="00AE595D" w:rsidRDefault="003023A5" w:rsidP="00147885">
            <w:pPr>
              <w:pStyle w:val="TableParagraph"/>
              <w:rPr>
                <w:rFonts w:eastAsia="Times New Roman" w:cs="Times New Roman"/>
              </w:rPr>
            </w:pPr>
            <w:r>
              <w:rPr>
                <w:rFonts w:eastAsia="Times New Roman" w:cs="Times New Roman"/>
                <w:b/>
              </w:rPr>
              <w:t>Tip</w:t>
            </w:r>
            <w:r w:rsidR="00EB7531" w:rsidRPr="00147ABD">
              <w:rPr>
                <w:rFonts w:eastAsia="Times New Roman" w:cs="Times New Roman"/>
                <w:b/>
              </w:rPr>
              <w:t>:</w:t>
            </w:r>
            <w:r w:rsidR="00EB7531" w:rsidRPr="00AE595D">
              <w:rPr>
                <w:rFonts w:eastAsia="Times New Roman" w:cs="Times New Roman"/>
              </w:rPr>
              <w:t xml:space="preserve"> Follow institutional or other guidelines when using VTE prophylaxis with epidural analgesia</w:t>
            </w:r>
            <w:r w:rsidR="008A4CA8">
              <w:rPr>
                <w:rFonts w:eastAsia="Times New Roman" w:cs="Times New Roman"/>
              </w:rPr>
              <w:t>.</w:t>
            </w:r>
          </w:p>
          <w:p w14:paraId="692CFEC4" w14:textId="59EFC29B" w:rsidR="005956DE" w:rsidRPr="00AE595D" w:rsidRDefault="003023A5" w:rsidP="00147885">
            <w:pPr>
              <w:pStyle w:val="TableParagraph"/>
              <w:rPr>
                <w:color w:val="000000"/>
              </w:rPr>
            </w:pPr>
            <w:r>
              <w:rPr>
                <w:rFonts w:eastAsia="Times New Roman" w:cs="Times New Roman"/>
                <w:b/>
              </w:rPr>
              <w:t>Tip</w:t>
            </w:r>
            <w:r w:rsidR="00EB7531" w:rsidRPr="00147ABD">
              <w:rPr>
                <w:rFonts w:eastAsia="Times New Roman" w:cs="Times New Roman"/>
                <w:b/>
              </w:rPr>
              <w:t>:</w:t>
            </w:r>
            <w:r w:rsidR="00EB7531" w:rsidRPr="00AE595D">
              <w:rPr>
                <w:rFonts w:eastAsia="Times New Roman" w:cs="Times New Roman"/>
              </w:rPr>
              <w:t xml:space="preserve"> Include VTE prophylaxis in admission order sets and have policy in place to prescribe VTE prophylaxis for a total of 28 days after surgery if that is indicated by the patient’s diagnoses and operation.</w:t>
            </w:r>
            <w:r w:rsidR="005956DE" w:rsidRPr="00AE595D">
              <w:rPr>
                <w:color w:val="000000"/>
              </w:rPr>
              <w:t xml:space="preserve"> </w:t>
            </w:r>
          </w:p>
          <w:p w14:paraId="7E3687CE" w14:textId="5E0987ED" w:rsidR="005956DE" w:rsidRPr="00AE595D" w:rsidRDefault="003023A5" w:rsidP="00147885">
            <w:pPr>
              <w:pStyle w:val="TableParagraph"/>
              <w:rPr>
                <w:rFonts w:eastAsia="Times New Roman" w:cs="Times New Roman"/>
                <w:color w:val="000000"/>
              </w:rPr>
            </w:pPr>
            <w:r>
              <w:rPr>
                <w:b/>
                <w:color w:val="000000"/>
              </w:rPr>
              <w:t>Tip</w:t>
            </w:r>
            <w:r w:rsidR="00EB7531" w:rsidRPr="00147ABD">
              <w:rPr>
                <w:b/>
                <w:color w:val="000000"/>
              </w:rPr>
              <w:t>:</w:t>
            </w:r>
            <w:r w:rsidR="00EB7531" w:rsidRPr="00AE595D">
              <w:rPr>
                <w:color w:val="000000"/>
              </w:rPr>
              <w:t xml:space="preserve"> Patient education should be done about risks and benefits of post discharge prophylaxis</w:t>
            </w:r>
            <w:r w:rsidR="005956DE" w:rsidRPr="00AE595D">
              <w:rPr>
                <w:color w:val="000000"/>
              </w:rPr>
              <w:t>.</w:t>
            </w:r>
          </w:p>
        </w:tc>
        <w:tc>
          <w:tcPr>
            <w:tcW w:w="894" w:type="pct"/>
          </w:tcPr>
          <w:p w14:paraId="0D04EB8A" w14:textId="77777777" w:rsidR="00EB7531" w:rsidRPr="00AE595D" w:rsidRDefault="00BF5037" w:rsidP="00147885">
            <w:pPr>
              <w:pStyle w:val="TableParagraph"/>
              <w:rPr>
                <w:rFonts w:eastAsia="Times New Roman" w:cs="Times New Roman"/>
                <w:color w:val="000000"/>
              </w:rPr>
            </w:pPr>
            <w:r>
              <w:rPr>
                <w:rFonts w:eastAsia="Times New Roman" w:cs="Times New Roman"/>
                <w:color w:val="000000"/>
              </w:rPr>
              <w:t>F</w:t>
            </w:r>
            <w:r w:rsidRPr="00AE595D">
              <w:rPr>
                <w:rFonts w:eastAsia="Times New Roman" w:cs="Times New Roman"/>
                <w:color w:val="000000"/>
              </w:rPr>
              <w:t>irst postoperative VTE chemoprophylaxis dose</w:t>
            </w:r>
          </w:p>
          <w:p w14:paraId="10CCD0CC" w14:textId="77777777" w:rsidR="00616383" w:rsidRPr="00616383" w:rsidRDefault="00BF5037" w:rsidP="00616383">
            <w:pPr>
              <w:pStyle w:val="TableParagraph"/>
              <w:rPr>
                <w:rFonts w:eastAsia="Times New Roman" w:cs="Times New Roman"/>
                <w:color w:val="000000"/>
              </w:rPr>
            </w:pPr>
            <w:r>
              <w:rPr>
                <w:rFonts w:eastAsia="Times New Roman" w:cs="Times New Roman"/>
                <w:color w:val="000000"/>
              </w:rPr>
              <w:t>M</w:t>
            </w:r>
            <w:r w:rsidRPr="00616383">
              <w:rPr>
                <w:rFonts w:eastAsia="Times New Roman" w:cs="Times New Roman"/>
                <w:color w:val="000000"/>
              </w:rPr>
              <w:t xml:space="preserve">edical </w:t>
            </w:r>
            <w:r w:rsidR="00FE350B" w:rsidRPr="00FE350B">
              <w:rPr>
                <w:rFonts w:eastAsia="Times New Roman" w:cs="Times New Roman"/>
                <w:color w:val="000000"/>
              </w:rPr>
              <w:t>VTE</w:t>
            </w:r>
            <w:r w:rsidRPr="00616383">
              <w:rPr>
                <w:rFonts w:eastAsia="Times New Roman" w:cs="Times New Roman"/>
                <w:color w:val="000000"/>
              </w:rPr>
              <w:t xml:space="preserve"> prophylaxis continued 28 days postoperatively</w:t>
            </w:r>
          </w:p>
          <w:p w14:paraId="1C72D669" w14:textId="77777777" w:rsidR="005956DE" w:rsidRPr="00AE595D" w:rsidRDefault="005956DE" w:rsidP="00147885">
            <w:pPr>
              <w:pStyle w:val="TableParagraph"/>
              <w:rPr>
                <w:rFonts w:eastAsia="Times New Roman" w:cs="Times New Roman"/>
                <w:color w:val="000000"/>
              </w:rPr>
            </w:pPr>
          </w:p>
        </w:tc>
      </w:tr>
    </w:tbl>
    <w:p w14:paraId="04179231" w14:textId="77777777" w:rsidR="00FC726A" w:rsidRDefault="00FC726A" w:rsidP="00FC726A">
      <w:r w:rsidRPr="00AE595D">
        <w:t>Abbreviations:</w:t>
      </w:r>
      <w:r>
        <w:t xml:space="preserve"> ISCR = Improving Surgical Care and Recovery</w:t>
      </w:r>
    </w:p>
    <w:p w14:paraId="799E8A71" w14:textId="5087CD21" w:rsidR="00147885" w:rsidRDefault="00147885" w:rsidP="00AE595D">
      <w:pPr>
        <w:spacing w:after="120" w:line="240" w:lineRule="auto"/>
        <w:rPr>
          <w:rFonts w:eastAsia="Times New Roman" w:cs="Times New Roman"/>
          <w:bCs/>
          <w:color w:val="000000"/>
        </w:rPr>
      </w:pPr>
      <w:r w:rsidRPr="00F746A8">
        <w:rPr>
          <w:rFonts w:eastAsia="Times New Roman" w:cs="Times New Roman"/>
          <w:bCs/>
          <w:color w:val="000000"/>
        </w:rPr>
        <w:t xml:space="preserve">1 </w:t>
      </w:r>
      <w:proofErr w:type="spellStart"/>
      <w:r w:rsidRPr="00F746A8">
        <w:rPr>
          <w:rFonts w:eastAsia="Times New Roman" w:cs="Times New Roman"/>
          <w:bCs/>
          <w:color w:val="000000"/>
        </w:rPr>
        <w:t>Sch</w:t>
      </w:r>
      <w:r w:rsidRPr="00147885">
        <w:rPr>
          <w:rFonts w:eastAsia="Times New Roman" w:cs="Times New Roman"/>
          <w:bCs/>
          <w:color w:val="000000"/>
        </w:rPr>
        <w:t>ünemann</w:t>
      </w:r>
      <w:proofErr w:type="spellEnd"/>
      <w:r w:rsidRPr="00147885">
        <w:rPr>
          <w:rFonts w:eastAsia="Times New Roman" w:cs="Times New Roman"/>
          <w:bCs/>
          <w:color w:val="000000"/>
        </w:rPr>
        <w:t xml:space="preserve"> HJ, Cushman M, Burnett AE, et al. American Society of Hematology 2018 guidelines for management of venous thromboembolism: prophylaxis for hospitalized and </w:t>
      </w:r>
      <w:proofErr w:type="spellStart"/>
      <w:r w:rsidRPr="00147885">
        <w:rPr>
          <w:rFonts w:eastAsia="Times New Roman" w:cs="Times New Roman"/>
          <w:bCs/>
          <w:color w:val="000000"/>
        </w:rPr>
        <w:t>nonhospitalized</w:t>
      </w:r>
      <w:proofErr w:type="spellEnd"/>
      <w:r w:rsidRPr="00147885">
        <w:rPr>
          <w:rFonts w:eastAsia="Times New Roman" w:cs="Times New Roman"/>
          <w:bCs/>
          <w:color w:val="000000"/>
        </w:rPr>
        <w:t xml:space="preserve"> medical patients. Blood Adv. 2018;2(22):3198–3225.</w:t>
      </w:r>
    </w:p>
    <w:p w14:paraId="66E198B6" w14:textId="316D8D93" w:rsidR="00EA34A5" w:rsidRDefault="00EA34A5" w:rsidP="00AE595D">
      <w:pPr>
        <w:spacing w:after="120" w:line="240" w:lineRule="auto"/>
        <w:rPr>
          <w:rFonts w:eastAsia="Times New Roman" w:cs="Times New Roman"/>
          <w:bCs/>
          <w:color w:val="000000"/>
          <w:highlight w:val="yellow"/>
        </w:rPr>
      </w:pPr>
      <w:r>
        <w:t>2</w:t>
      </w:r>
      <w:r w:rsidRPr="0019570D">
        <w:t xml:space="preserve"> </w:t>
      </w:r>
      <w:r w:rsidR="00FC726A">
        <w:t xml:space="preserve">Maynard G. </w:t>
      </w:r>
      <w:r w:rsidR="00FC726A" w:rsidRPr="0019570D">
        <w:t>Choose the Model To Assess VTE and Bleeding Risk.</w:t>
      </w:r>
      <w:r w:rsidR="00FC726A">
        <w:t xml:space="preserve"> </w:t>
      </w:r>
      <w:r w:rsidR="004A5E6C">
        <w:t>In:</w:t>
      </w:r>
      <w:r w:rsidR="00FC726A" w:rsidRPr="0019570D">
        <w:t xml:space="preserve"> </w:t>
      </w:r>
      <w:r w:rsidR="00FC726A">
        <w:t>Preventing Hospital-Associated Venous Thromboembolism: A Guide for Effective Quality Improvement, 2</w:t>
      </w:r>
      <w:r w:rsidR="00FC726A" w:rsidRPr="00152CFC">
        <w:rPr>
          <w:vertAlign w:val="superscript"/>
        </w:rPr>
        <w:t>nd</w:t>
      </w:r>
      <w:r w:rsidR="00FC726A">
        <w:t xml:space="preserve"> ed. Rockville, MD: </w:t>
      </w:r>
      <w:r w:rsidR="00FC726A" w:rsidRPr="0019570D">
        <w:t>Agency for Healthcare Research and Quality</w:t>
      </w:r>
      <w:r w:rsidR="00FC726A">
        <w:t>; August 2016</w:t>
      </w:r>
      <w:r w:rsidR="004A5E6C">
        <w:t>: chapter 4</w:t>
      </w:r>
      <w:r w:rsidR="00FC726A">
        <w:t xml:space="preserve">. </w:t>
      </w:r>
      <w:r w:rsidR="00FC726A" w:rsidRPr="00FC6D8E">
        <w:t>https://www.ahrq.gov/patient-safety/settings/hospital/vtguide/index.html</w:t>
      </w:r>
      <w:r w:rsidR="00FC726A">
        <w:t>.</w:t>
      </w:r>
    </w:p>
    <w:p w14:paraId="77AC6F7B" w14:textId="77777777" w:rsidR="00605B85" w:rsidRPr="00AE595D" w:rsidRDefault="00605B85" w:rsidP="00147ABD">
      <w:pPr>
        <w:spacing w:after="120" w:line="240" w:lineRule="auto"/>
        <w:rPr>
          <w:rFonts w:eastAsia="Times New Roman" w:cs="Times New Roman"/>
          <w:b/>
          <w:bCs/>
          <w:color w:val="000000"/>
        </w:rPr>
      </w:pPr>
      <w:r w:rsidRPr="00AE595D">
        <w:rPr>
          <w:rFonts w:eastAsia="Times New Roman" w:cs="Times New Roman"/>
          <w:b/>
          <w:bCs/>
          <w:color w:val="000000"/>
        </w:rPr>
        <w:br w:type="page"/>
      </w:r>
    </w:p>
    <w:p w14:paraId="2D3DBB12" w14:textId="77777777" w:rsidR="004B3D41" w:rsidRDefault="00147885">
      <w:pPr>
        <w:pStyle w:val="Heading2"/>
        <w:rPr>
          <w:rFonts w:eastAsia="Times New Roman" w:cs="Times New Roman"/>
          <w:color w:val="000000"/>
        </w:rPr>
      </w:pPr>
      <w:bookmarkStart w:id="37" w:name="_Toc117000816"/>
      <w:r w:rsidRPr="00AE595D">
        <w:lastRenderedPageBreak/>
        <w:t>Postoperative Multimodal Pain Management</w:t>
      </w:r>
      <w:bookmarkEnd w:id="37"/>
      <w:r w:rsidRPr="00AE595D">
        <w:rPr>
          <w:rFonts w:eastAsia="Times New Roman" w:cs="Times New Roman"/>
          <w:color w:val="000000"/>
        </w:rPr>
        <w:t xml:space="preserve"> </w:t>
      </w:r>
    </w:p>
    <w:p w14:paraId="343E5EE8" w14:textId="03ACB795" w:rsidR="00F604B6" w:rsidRDefault="00F604B6" w:rsidP="00E60BDE">
      <w:pPr>
        <w:pStyle w:val="BodyText1"/>
      </w:pPr>
      <w:r>
        <w:t>A standard, multimodal antiemetic and opioid sparing analgesic regimen is recommended for all</w:t>
      </w:r>
      <w:r w:rsidR="001D7B40">
        <w:t xml:space="preserve"> postoperative</w:t>
      </w:r>
      <w:r>
        <w:t xml:space="preserve"> patients. Medications should be administered orally with cessation of </w:t>
      </w:r>
      <w:r w:rsidR="00350958">
        <w:t>intravenous (</w:t>
      </w:r>
      <w:r>
        <w:t>IV</w:t>
      </w:r>
      <w:r w:rsidR="00350958">
        <w:t>)</w:t>
      </w:r>
      <w:r>
        <w:t xml:space="preserve"> medication as early as tolerated by the patient. Opioid</w:t>
      </w:r>
      <w:r w:rsidR="00CA59C8">
        <w:t>-</w:t>
      </w:r>
      <w:r>
        <w:t>sparing pain regimens should be optimized postoperatively and continued in the post-discharge period. Regimens can involve:</w:t>
      </w:r>
    </w:p>
    <w:p w14:paraId="57CBBB0E" w14:textId="77777777" w:rsidR="00F604B6" w:rsidRDefault="00F604B6" w:rsidP="00E60BDE">
      <w:pPr>
        <w:pStyle w:val="Bullet1"/>
      </w:pPr>
      <w:r>
        <w:t xml:space="preserve">Regional analgesia </w:t>
      </w:r>
    </w:p>
    <w:p w14:paraId="3DD3DA95" w14:textId="140B908B" w:rsidR="00F604B6" w:rsidRDefault="00F604B6" w:rsidP="00E60BDE">
      <w:pPr>
        <w:pStyle w:val="Bullet1"/>
      </w:pPr>
      <w:r>
        <w:t>Core nonopioid analgesic regimen</w:t>
      </w:r>
    </w:p>
    <w:p w14:paraId="03755F73" w14:textId="77777777" w:rsidR="00F604B6" w:rsidRDefault="00F604B6" w:rsidP="00E60BDE">
      <w:pPr>
        <w:pStyle w:val="Bullet1"/>
      </w:pPr>
      <w:r>
        <w:t>Optional analgesic adjuncts</w:t>
      </w:r>
    </w:p>
    <w:p w14:paraId="48DB5FAC" w14:textId="02FEB184" w:rsidR="006F533C" w:rsidRPr="00E60BDE" w:rsidRDefault="00F604B6" w:rsidP="00E60BDE">
      <w:pPr>
        <w:pStyle w:val="Bullet1"/>
        <w:rPr>
          <w:b/>
        </w:rPr>
      </w:pPr>
      <w:r>
        <w:t xml:space="preserve">Optional opioid analgesic agents only as needed </w:t>
      </w:r>
    </w:p>
    <w:tbl>
      <w:tblPr>
        <w:tblStyle w:val="GridTable1Light1"/>
        <w:tblW w:w="5000" w:type="pct"/>
        <w:tblLook w:val="0600" w:firstRow="0" w:lastRow="0" w:firstColumn="0" w:lastColumn="0" w:noHBand="1" w:noVBand="1"/>
      </w:tblPr>
      <w:tblGrid>
        <w:gridCol w:w="1903"/>
        <w:gridCol w:w="1888"/>
        <w:gridCol w:w="8369"/>
        <w:gridCol w:w="3238"/>
        <w:gridCol w:w="4403"/>
        <w:gridCol w:w="3229"/>
      </w:tblGrid>
      <w:tr w:rsidR="004B3D41" w:rsidRPr="00AE595D" w14:paraId="73F31835" w14:textId="77777777" w:rsidTr="006F533C">
        <w:trPr>
          <w:cantSplit/>
          <w:trHeight w:val="973"/>
          <w:tblHeader/>
        </w:trPr>
        <w:tc>
          <w:tcPr>
            <w:tcW w:w="413" w:type="pct"/>
            <w:hideMark/>
          </w:tcPr>
          <w:p w14:paraId="22F2195C" w14:textId="7FECD217" w:rsidR="004B3D41" w:rsidRPr="00AE595D" w:rsidRDefault="004B3D41" w:rsidP="00AE595D">
            <w:pPr>
              <w:spacing w:after="120" w:line="240" w:lineRule="auto"/>
              <w:ind w:left="159"/>
            </w:pPr>
            <w:r w:rsidRPr="00AE595D">
              <w:rPr>
                <w:b/>
                <w:bCs/>
              </w:rPr>
              <w:t xml:space="preserve">Pathway </w:t>
            </w:r>
          </w:p>
        </w:tc>
        <w:tc>
          <w:tcPr>
            <w:tcW w:w="410" w:type="pct"/>
            <w:hideMark/>
          </w:tcPr>
          <w:p w14:paraId="3CC3AA06" w14:textId="77777777" w:rsidR="004B3D41" w:rsidRPr="00AE595D" w:rsidRDefault="004B3D41" w:rsidP="00AE595D">
            <w:pPr>
              <w:spacing w:after="120" w:line="240" w:lineRule="auto"/>
              <w:rPr>
                <w:b/>
                <w:bCs/>
              </w:rPr>
            </w:pPr>
            <w:r w:rsidRPr="00AE595D">
              <w:rPr>
                <w:b/>
                <w:bCs/>
              </w:rPr>
              <w:t>Component</w:t>
            </w:r>
          </w:p>
        </w:tc>
        <w:tc>
          <w:tcPr>
            <w:tcW w:w="1817" w:type="pct"/>
            <w:hideMark/>
          </w:tcPr>
          <w:p w14:paraId="395E8C96" w14:textId="1AB4EDEE" w:rsidR="00881220" w:rsidRDefault="004B3D41" w:rsidP="00AE595D">
            <w:pPr>
              <w:spacing w:after="120" w:line="240" w:lineRule="auto"/>
              <w:rPr>
                <w:b/>
                <w:bCs/>
              </w:rPr>
            </w:pPr>
            <w:r w:rsidRPr="00AE595D">
              <w:rPr>
                <w:b/>
                <w:bCs/>
              </w:rPr>
              <w:t xml:space="preserve">Example Processes </w:t>
            </w:r>
            <w:r w:rsidR="00350958">
              <w:rPr>
                <w:b/>
                <w:bCs/>
              </w:rPr>
              <w:t>T</w:t>
            </w:r>
            <w:r w:rsidRPr="00AE595D">
              <w:rPr>
                <w:b/>
                <w:bCs/>
              </w:rPr>
              <w:t>o Consider</w:t>
            </w:r>
          </w:p>
          <w:p w14:paraId="7B441940" w14:textId="77777777" w:rsidR="004B3D41" w:rsidRPr="00881220" w:rsidRDefault="004B3D41" w:rsidP="00AE595D">
            <w:pPr>
              <w:spacing w:after="120" w:line="240" w:lineRule="auto"/>
              <w:rPr>
                <w:i/>
              </w:rPr>
            </w:pPr>
            <w:r w:rsidRPr="00881220">
              <w:rPr>
                <w:bCs/>
                <w:i/>
              </w:rPr>
              <w:t>As a team, go through each component and discuss what approach best fits your hospital. It may be an option other than what is listed below.</w:t>
            </w:r>
          </w:p>
        </w:tc>
        <w:tc>
          <w:tcPr>
            <w:tcW w:w="703" w:type="pct"/>
            <w:hideMark/>
          </w:tcPr>
          <w:p w14:paraId="7E89A661" w14:textId="77777777" w:rsidR="004B3D41" w:rsidRPr="00AE595D" w:rsidRDefault="004B3D41" w:rsidP="00AE595D">
            <w:pPr>
              <w:spacing w:after="120" w:line="240" w:lineRule="auto"/>
            </w:pPr>
            <w:r w:rsidRPr="00AE595D">
              <w:rPr>
                <w:b/>
                <w:bCs/>
              </w:rPr>
              <w:t>Team Decisions/Notes</w:t>
            </w:r>
          </w:p>
          <w:p w14:paraId="01C0DA71" w14:textId="77777777" w:rsidR="004B3D41" w:rsidRPr="00881220" w:rsidRDefault="004B3D41" w:rsidP="00AE595D">
            <w:pPr>
              <w:spacing w:after="120" w:line="240" w:lineRule="auto"/>
              <w:rPr>
                <w:i/>
              </w:rPr>
            </w:pPr>
            <w:r w:rsidRPr="00881220">
              <w:rPr>
                <w:bCs/>
                <w:i/>
              </w:rPr>
              <w:t>As a team, note exceptions and contraindications to the treatment or medications.</w:t>
            </w:r>
          </w:p>
        </w:tc>
        <w:tc>
          <w:tcPr>
            <w:tcW w:w="956" w:type="pct"/>
            <w:hideMark/>
          </w:tcPr>
          <w:p w14:paraId="5E88D69F" w14:textId="07A32659" w:rsidR="004B3D41" w:rsidRPr="00AE595D" w:rsidRDefault="00AA140E" w:rsidP="00AE595D">
            <w:pPr>
              <w:spacing w:after="120" w:line="240" w:lineRule="auto"/>
            </w:pPr>
            <w:r>
              <w:rPr>
                <w:b/>
                <w:bCs/>
              </w:rPr>
              <w:t xml:space="preserve">Other Available Resources </w:t>
            </w:r>
            <w:r w:rsidR="00350958">
              <w:rPr>
                <w:b/>
                <w:bCs/>
              </w:rPr>
              <w:t>and</w:t>
            </w:r>
            <w:r>
              <w:rPr>
                <w:b/>
                <w:bCs/>
              </w:rPr>
              <w:t xml:space="preserve"> Tips </w:t>
            </w:r>
            <w:r w:rsidR="00350958">
              <w:rPr>
                <w:b/>
                <w:bCs/>
              </w:rPr>
              <w:t>T</w:t>
            </w:r>
            <w:r>
              <w:rPr>
                <w:b/>
                <w:bCs/>
              </w:rPr>
              <w:t>o Consider</w:t>
            </w:r>
          </w:p>
        </w:tc>
        <w:tc>
          <w:tcPr>
            <w:tcW w:w="701" w:type="pct"/>
            <w:hideMark/>
          </w:tcPr>
          <w:p w14:paraId="429E8D19" w14:textId="77777777" w:rsidR="009F40B9" w:rsidRPr="009F40B9" w:rsidRDefault="009F40B9" w:rsidP="009F40B9">
            <w:pPr>
              <w:pStyle w:val="TableParagraph"/>
              <w:rPr>
                <w:rStyle w:val="Strong"/>
              </w:rPr>
            </w:pPr>
            <w:r w:rsidRPr="009F40B9">
              <w:rPr>
                <w:rStyle w:val="Strong"/>
              </w:rPr>
              <w:t>ISCR Measures</w:t>
            </w:r>
          </w:p>
          <w:p w14:paraId="5797C1CF" w14:textId="77777777" w:rsidR="004B3D41" w:rsidRPr="00AE595D" w:rsidRDefault="009F40B9" w:rsidP="009F40B9">
            <w:pPr>
              <w:spacing w:after="120" w:line="240" w:lineRule="auto"/>
            </w:pPr>
            <w:r w:rsidRPr="009F40B9">
              <w:rPr>
                <w:rStyle w:val="Strong"/>
                <w:b w:val="0"/>
                <w:i/>
              </w:rPr>
              <w:t>As a team, decide on specific and standardized measures you can track at your hospital. It may be helpful to record your definitions here.</w:t>
            </w:r>
          </w:p>
        </w:tc>
      </w:tr>
      <w:tr w:rsidR="005956DE" w:rsidRPr="00AE595D" w14:paraId="58F0CDBA" w14:textId="77777777" w:rsidTr="006F533C">
        <w:trPr>
          <w:cantSplit/>
          <w:trHeight w:val="334"/>
        </w:trPr>
        <w:tc>
          <w:tcPr>
            <w:tcW w:w="413" w:type="pct"/>
            <w:hideMark/>
          </w:tcPr>
          <w:p w14:paraId="4FF4ACAD" w14:textId="77777777" w:rsidR="005956DE" w:rsidRPr="00147ABD" w:rsidRDefault="0031170A" w:rsidP="00AE595D">
            <w:pPr>
              <w:spacing w:after="120" w:line="240" w:lineRule="auto"/>
              <w:ind w:left="159"/>
              <w:rPr>
                <w:b/>
              </w:rPr>
            </w:pPr>
            <w:r w:rsidRPr="00147ABD">
              <w:rPr>
                <w:b/>
              </w:rPr>
              <w:t>All ISCR</w:t>
            </w:r>
            <w:r w:rsidR="00147885" w:rsidRPr="00147ABD">
              <w:rPr>
                <w:b/>
              </w:rPr>
              <w:t xml:space="preserve"> Pathway</w:t>
            </w:r>
            <w:r w:rsidRPr="00147ABD">
              <w:rPr>
                <w:b/>
              </w:rPr>
              <w:t>s</w:t>
            </w:r>
          </w:p>
        </w:tc>
        <w:tc>
          <w:tcPr>
            <w:tcW w:w="410" w:type="pct"/>
          </w:tcPr>
          <w:p w14:paraId="789159C3" w14:textId="77777777" w:rsidR="005956DE" w:rsidRPr="00AE595D" w:rsidRDefault="005956DE" w:rsidP="00AE595D">
            <w:pPr>
              <w:spacing w:after="120" w:line="240" w:lineRule="auto"/>
              <w:rPr>
                <w:b/>
                <w:bCs/>
              </w:rPr>
            </w:pPr>
            <w:r w:rsidRPr="00AE595D">
              <w:rPr>
                <w:b/>
                <w:bCs/>
              </w:rPr>
              <w:t>Postoperative Multimodal Pain Management</w:t>
            </w:r>
          </w:p>
        </w:tc>
        <w:tc>
          <w:tcPr>
            <w:tcW w:w="1817" w:type="pct"/>
          </w:tcPr>
          <w:p w14:paraId="7B2D83C6" w14:textId="77777777" w:rsidR="005956DE" w:rsidRPr="00147ABD" w:rsidRDefault="00147ABD" w:rsidP="00AE595D">
            <w:pPr>
              <w:spacing w:after="120" w:line="240" w:lineRule="auto"/>
              <w:rPr>
                <w:rFonts w:eastAsia="Times New Roman" w:cs="Times New Roman"/>
                <w:b/>
                <w:color w:val="000000"/>
              </w:rPr>
            </w:pPr>
            <w:r w:rsidRPr="00147ABD">
              <w:rPr>
                <w:rFonts w:eastAsia="Times New Roman" w:cs="Times New Roman"/>
                <w:b/>
                <w:color w:val="000000"/>
              </w:rPr>
              <w:t>Choose your approach</w:t>
            </w:r>
            <w:r w:rsidR="005956DE" w:rsidRPr="00147ABD">
              <w:rPr>
                <w:rFonts w:eastAsia="Times New Roman" w:cs="Times New Roman"/>
                <w:b/>
                <w:color w:val="000000"/>
              </w:rPr>
              <w:t>:</w:t>
            </w:r>
          </w:p>
          <w:p w14:paraId="1C253F8A" w14:textId="1902C6E0" w:rsidR="003A6726" w:rsidRPr="00AE595D" w:rsidRDefault="00EB7531" w:rsidP="007F7E50">
            <w:pPr>
              <w:pStyle w:val="ListParagraph"/>
              <w:numPr>
                <w:ilvl w:val="0"/>
                <w:numId w:val="15"/>
              </w:numPr>
              <w:spacing w:after="120" w:line="240" w:lineRule="auto"/>
              <w:contextualSpacing w:val="0"/>
              <w:rPr>
                <w:rFonts w:eastAsia="Times New Roman" w:cs="Times New Roman"/>
                <w:b/>
                <w:color w:val="000000"/>
              </w:rPr>
            </w:pPr>
            <w:r w:rsidRPr="00AE595D">
              <w:rPr>
                <w:rFonts w:eastAsia="Times New Roman" w:cs="Times New Roman"/>
                <w:b/>
                <w:color w:val="000000"/>
              </w:rPr>
              <w:t xml:space="preserve">Nonopioid analgesics </w:t>
            </w:r>
          </w:p>
          <w:p w14:paraId="5C03474E" w14:textId="77777777" w:rsidR="00EB7531" w:rsidRPr="00AE595D" w:rsidRDefault="00EB7531" w:rsidP="00AE595D">
            <w:pPr>
              <w:pStyle w:val="ListParagraph"/>
              <w:spacing w:after="120" w:line="240" w:lineRule="auto"/>
              <w:contextualSpacing w:val="0"/>
              <w:rPr>
                <w:rFonts w:eastAsia="Times New Roman" w:cs="Times New Roman"/>
                <w:color w:val="000000"/>
              </w:rPr>
            </w:pPr>
            <w:r w:rsidRPr="00AE595D">
              <w:rPr>
                <w:rFonts w:eastAsia="Times New Roman" w:cs="Times New Roman"/>
                <w:color w:val="000000"/>
              </w:rPr>
              <w:t>Scheduled:</w:t>
            </w:r>
          </w:p>
          <w:p w14:paraId="04D361B1" w14:textId="1DE38D21" w:rsidR="006722F4" w:rsidRPr="00AE595D" w:rsidRDefault="006722F4" w:rsidP="007F7E50">
            <w:pPr>
              <w:pStyle w:val="ListParagraph"/>
              <w:numPr>
                <w:ilvl w:val="1"/>
                <w:numId w:val="15"/>
              </w:numPr>
              <w:spacing w:after="120" w:line="240" w:lineRule="auto"/>
              <w:contextualSpacing w:val="0"/>
              <w:rPr>
                <w:rFonts w:eastAsia="Times New Roman" w:cs="Times New Roman"/>
                <w:color w:val="000000"/>
              </w:rPr>
            </w:pPr>
            <w:r w:rsidRPr="00AE595D">
              <w:rPr>
                <w:rFonts w:eastAsia="Times New Roman" w:cs="Times New Roman"/>
                <w:color w:val="000000"/>
              </w:rPr>
              <w:t>Acetaminophen. IV dosing is an alternat</w:t>
            </w:r>
            <w:r w:rsidR="00DF31FA">
              <w:rPr>
                <w:rFonts w:eastAsia="Times New Roman" w:cs="Times New Roman"/>
                <w:color w:val="000000"/>
              </w:rPr>
              <w:t>iv</w:t>
            </w:r>
            <w:r w:rsidRPr="00AE595D">
              <w:rPr>
                <w:rFonts w:eastAsia="Times New Roman" w:cs="Times New Roman"/>
                <w:color w:val="000000"/>
              </w:rPr>
              <w:t xml:space="preserve">e if the patient is unable to take </w:t>
            </w:r>
            <w:r w:rsidR="002D7076">
              <w:rPr>
                <w:rFonts w:eastAsia="Times New Roman" w:cs="Times New Roman"/>
                <w:color w:val="000000"/>
              </w:rPr>
              <w:t>by mouth (</w:t>
            </w:r>
            <w:r w:rsidRPr="00AE595D">
              <w:rPr>
                <w:rFonts w:eastAsia="Times New Roman" w:cs="Times New Roman"/>
                <w:color w:val="000000"/>
              </w:rPr>
              <w:t>PO</w:t>
            </w:r>
            <w:r w:rsidR="002D7076">
              <w:rPr>
                <w:rFonts w:eastAsia="Times New Roman" w:cs="Times New Roman"/>
                <w:color w:val="000000"/>
              </w:rPr>
              <w:t>)</w:t>
            </w:r>
            <w:r w:rsidRPr="00AE595D">
              <w:rPr>
                <w:rFonts w:eastAsia="Times New Roman" w:cs="Times New Roman"/>
                <w:color w:val="000000"/>
              </w:rPr>
              <w:t xml:space="preserve">. </w:t>
            </w:r>
          </w:p>
          <w:p w14:paraId="3C577B6C" w14:textId="77777777" w:rsidR="006722F4" w:rsidRPr="00AE595D" w:rsidRDefault="006722F4" w:rsidP="00AE595D">
            <w:pPr>
              <w:spacing w:after="120" w:line="240" w:lineRule="auto"/>
              <w:ind w:left="1080"/>
              <w:rPr>
                <w:rFonts w:eastAsia="Times New Roman" w:cs="Times New Roman"/>
                <w:i/>
                <w:color w:val="000000"/>
              </w:rPr>
            </w:pPr>
            <w:r w:rsidRPr="00AE595D">
              <w:rPr>
                <w:rFonts w:eastAsia="Times New Roman" w:cs="Times New Roman"/>
                <w:i/>
                <w:color w:val="000000"/>
              </w:rPr>
              <w:t>AND</w:t>
            </w:r>
          </w:p>
          <w:p w14:paraId="0326B9F3" w14:textId="1A944F1A" w:rsidR="006722F4" w:rsidRDefault="006722F4" w:rsidP="007F7E50">
            <w:pPr>
              <w:pStyle w:val="ListParagraph"/>
              <w:numPr>
                <w:ilvl w:val="1"/>
                <w:numId w:val="15"/>
              </w:numPr>
              <w:spacing w:after="120" w:line="240" w:lineRule="auto"/>
              <w:contextualSpacing w:val="0"/>
              <w:rPr>
                <w:rFonts w:eastAsia="Times New Roman" w:cs="Times New Roman"/>
                <w:color w:val="000000"/>
              </w:rPr>
            </w:pPr>
            <w:r w:rsidRPr="00AE595D">
              <w:rPr>
                <w:rFonts w:eastAsia="Times New Roman" w:cs="Times New Roman"/>
                <w:color w:val="000000"/>
              </w:rPr>
              <w:t xml:space="preserve">Nonsteroidal anti-inflammatory drug (e.g., </w:t>
            </w:r>
            <w:r w:rsidR="005F2008">
              <w:rPr>
                <w:rFonts w:eastAsia="Times New Roman" w:cs="Times New Roman"/>
                <w:color w:val="000000"/>
              </w:rPr>
              <w:t>i</w:t>
            </w:r>
            <w:r w:rsidR="005F2008" w:rsidRPr="00AE595D">
              <w:rPr>
                <w:rFonts w:eastAsia="Times New Roman" w:cs="Times New Roman"/>
                <w:color w:val="000000"/>
              </w:rPr>
              <w:t>buprofen</w:t>
            </w:r>
            <w:r w:rsidRPr="00AE595D">
              <w:rPr>
                <w:rFonts w:eastAsia="Times New Roman" w:cs="Times New Roman"/>
                <w:color w:val="000000"/>
              </w:rPr>
              <w:t>, ketorolac) should be considered on an individual basis.</w:t>
            </w:r>
          </w:p>
          <w:p w14:paraId="7FB85F56" w14:textId="1FDCA64E" w:rsidR="00F746A8" w:rsidRDefault="009C15D7" w:rsidP="00F746A8">
            <w:pPr>
              <w:pStyle w:val="ListParagraph"/>
              <w:numPr>
                <w:ilvl w:val="1"/>
                <w:numId w:val="15"/>
              </w:numPr>
              <w:spacing w:after="120" w:line="240" w:lineRule="auto"/>
              <w:rPr>
                <w:rFonts w:eastAsia="Times New Roman" w:cs="Times New Roman"/>
                <w:color w:val="000000"/>
              </w:rPr>
            </w:pPr>
            <w:r w:rsidRPr="0019570D">
              <w:rPr>
                <w:rFonts w:eastAsia="Times New Roman" w:cs="Times New Roman"/>
                <w:color w:val="000000"/>
              </w:rPr>
              <w:t xml:space="preserve">Consider </w:t>
            </w:r>
            <w:r w:rsidR="005F2008">
              <w:rPr>
                <w:rFonts w:eastAsia="Times New Roman" w:cs="Times New Roman"/>
                <w:color w:val="000000"/>
              </w:rPr>
              <w:t>g</w:t>
            </w:r>
            <w:r w:rsidR="005F2008" w:rsidRPr="0019570D">
              <w:rPr>
                <w:rFonts w:eastAsia="Times New Roman" w:cs="Times New Roman"/>
                <w:color w:val="000000"/>
              </w:rPr>
              <w:t xml:space="preserve">abapentin </w:t>
            </w:r>
            <w:r w:rsidRPr="0019570D">
              <w:rPr>
                <w:rFonts w:eastAsia="Times New Roman" w:cs="Times New Roman"/>
                <w:color w:val="000000"/>
              </w:rPr>
              <w:t xml:space="preserve">PO or </w:t>
            </w:r>
            <w:r w:rsidR="005F2008">
              <w:rPr>
                <w:rFonts w:eastAsia="Times New Roman" w:cs="Times New Roman"/>
                <w:color w:val="000000"/>
              </w:rPr>
              <w:t>p</w:t>
            </w:r>
            <w:r w:rsidR="005F2008" w:rsidRPr="0019570D">
              <w:rPr>
                <w:rFonts w:eastAsia="Times New Roman" w:cs="Times New Roman"/>
                <w:color w:val="000000"/>
              </w:rPr>
              <w:t xml:space="preserve">regabalin </w:t>
            </w:r>
            <w:r w:rsidRPr="0019570D">
              <w:rPr>
                <w:rFonts w:eastAsia="Times New Roman" w:cs="Times New Roman"/>
                <w:color w:val="000000"/>
              </w:rPr>
              <w:t>PO once (</w:t>
            </w:r>
            <w:r w:rsidR="00350958">
              <w:rPr>
                <w:rFonts w:eastAsia="Times New Roman" w:cs="Times New Roman"/>
                <w:color w:val="000000"/>
              </w:rPr>
              <w:t>a</w:t>
            </w:r>
            <w:r w:rsidRPr="0019570D">
              <w:rPr>
                <w:rFonts w:eastAsia="Times New Roman" w:cs="Times New Roman"/>
                <w:color w:val="000000"/>
              </w:rPr>
              <w:t>void gabapentin in elderly patients, patients with chronic kidney disease, and patients at risk for respiratory depression as it can promote excessive drowsiness)</w:t>
            </w:r>
          </w:p>
          <w:p w14:paraId="5F2E720F" w14:textId="77777777" w:rsidR="00F746A8" w:rsidRPr="00F746A8" w:rsidRDefault="00F746A8" w:rsidP="00F746A8">
            <w:pPr>
              <w:pStyle w:val="ListParagraph"/>
              <w:spacing w:after="120" w:line="240" w:lineRule="auto"/>
              <w:ind w:left="1440"/>
              <w:rPr>
                <w:rFonts w:eastAsia="Times New Roman" w:cs="Times New Roman"/>
                <w:color w:val="000000"/>
              </w:rPr>
            </w:pPr>
          </w:p>
          <w:p w14:paraId="13DA981F" w14:textId="77777777" w:rsidR="00EB7531" w:rsidRPr="00AE595D" w:rsidRDefault="00EB7531" w:rsidP="007F7E50">
            <w:pPr>
              <w:pStyle w:val="ListParagraph"/>
              <w:numPr>
                <w:ilvl w:val="0"/>
                <w:numId w:val="15"/>
              </w:numPr>
              <w:spacing w:after="120" w:line="240" w:lineRule="auto"/>
              <w:contextualSpacing w:val="0"/>
              <w:rPr>
                <w:rFonts w:eastAsia="Times New Roman" w:cs="Times New Roman"/>
                <w:b/>
                <w:color w:val="000000"/>
              </w:rPr>
            </w:pPr>
            <w:r w:rsidRPr="00AE595D">
              <w:rPr>
                <w:rFonts w:eastAsia="Times New Roman" w:cs="Times New Roman"/>
                <w:b/>
                <w:color w:val="000000"/>
              </w:rPr>
              <w:t>If expertise or resources are available, use:</w:t>
            </w:r>
          </w:p>
          <w:p w14:paraId="440A9B9A" w14:textId="77777777" w:rsidR="003A6726" w:rsidRPr="00F746A8" w:rsidRDefault="00EB7531" w:rsidP="00AE595D">
            <w:pPr>
              <w:pStyle w:val="ListParagraph"/>
              <w:numPr>
                <w:ilvl w:val="1"/>
                <w:numId w:val="15"/>
              </w:numPr>
              <w:spacing w:after="120" w:line="240" w:lineRule="auto"/>
              <w:contextualSpacing w:val="0"/>
              <w:rPr>
                <w:rFonts w:eastAsia="Times New Roman" w:cs="Times New Roman"/>
                <w:color w:val="000000"/>
              </w:rPr>
            </w:pPr>
            <w:r w:rsidRPr="00AE595D">
              <w:rPr>
                <w:rFonts w:eastAsia="Times New Roman" w:cs="Times New Roman"/>
                <w:color w:val="000000"/>
              </w:rPr>
              <w:t>Regional analgesia (e.g., transversus abdominis plane block) using a local anesthetic regimen</w:t>
            </w:r>
          </w:p>
          <w:p w14:paraId="66004194" w14:textId="77777777" w:rsidR="00EB7531" w:rsidRPr="00AE595D" w:rsidRDefault="00EB7531" w:rsidP="007F7E50">
            <w:pPr>
              <w:pStyle w:val="ListParagraph"/>
              <w:numPr>
                <w:ilvl w:val="0"/>
                <w:numId w:val="15"/>
              </w:numPr>
              <w:spacing w:after="120" w:line="240" w:lineRule="auto"/>
              <w:contextualSpacing w:val="0"/>
              <w:rPr>
                <w:rFonts w:eastAsia="Times New Roman" w:cs="Times New Roman"/>
                <w:b/>
                <w:color w:val="000000"/>
                <w:u w:val="single"/>
              </w:rPr>
            </w:pPr>
            <w:r w:rsidRPr="00AE595D">
              <w:rPr>
                <w:rFonts w:eastAsia="Times New Roman" w:cs="Times New Roman"/>
                <w:b/>
                <w:color w:val="000000"/>
                <w:u w:val="single"/>
              </w:rPr>
              <w:t>If available, adjuncts to consider</w:t>
            </w:r>
            <w:r w:rsidR="00575570" w:rsidRPr="00AE595D">
              <w:rPr>
                <w:rFonts w:eastAsia="Times New Roman" w:cs="Times New Roman"/>
                <w:b/>
                <w:color w:val="000000"/>
                <w:u w:val="single"/>
              </w:rPr>
              <w:t xml:space="preserve"> </w:t>
            </w:r>
            <w:r w:rsidR="009B77D7">
              <w:rPr>
                <w:rFonts w:eastAsia="Times New Roman" w:cs="Times New Roman"/>
                <w:b/>
                <w:color w:val="000000"/>
                <w:u w:val="single"/>
              </w:rPr>
              <w:t>for all pathways</w:t>
            </w:r>
            <w:r w:rsidRPr="00AE595D">
              <w:rPr>
                <w:rFonts w:eastAsia="Times New Roman" w:cs="Times New Roman"/>
                <w:b/>
                <w:color w:val="000000"/>
                <w:u w:val="single"/>
              </w:rPr>
              <w:t>:</w:t>
            </w:r>
          </w:p>
          <w:p w14:paraId="32E0B46A" w14:textId="77777777" w:rsidR="00EB7531" w:rsidRPr="00AE595D" w:rsidRDefault="00EB7531" w:rsidP="007F7E50">
            <w:pPr>
              <w:pStyle w:val="ListParagraph"/>
              <w:numPr>
                <w:ilvl w:val="1"/>
                <w:numId w:val="15"/>
              </w:numPr>
              <w:spacing w:after="120" w:line="240" w:lineRule="auto"/>
              <w:contextualSpacing w:val="0"/>
              <w:rPr>
                <w:rFonts w:eastAsia="Times New Roman" w:cs="Times New Roman"/>
                <w:color w:val="000000"/>
              </w:rPr>
            </w:pPr>
            <w:r w:rsidRPr="00AE595D">
              <w:rPr>
                <w:rFonts w:eastAsia="Times New Roman" w:cs="Times New Roman"/>
                <w:color w:val="000000"/>
              </w:rPr>
              <w:t>Lidocaine topical patch placed for up to 12 hours in a 24-hour period</w:t>
            </w:r>
          </w:p>
          <w:p w14:paraId="717624B1" w14:textId="6F7406BA" w:rsidR="009B77D7" w:rsidRPr="00F746A8" w:rsidRDefault="00D060D1" w:rsidP="009B77D7">
            <w:pPr>
              <w:pStyle w:val="ListParagraph"/>
              <w:numPr>
                <w:ilvl w:val="1"/>
                <w:numId w:val="15"/>
              </w:numPr>
              <w:spacing w:after="120" w:line="240" w:lineRule="auto"/>
              <w:contextualSpacing w:val="0"/>
              <w:rPr>
                <w:rFonts w:eastAsia="Times New Roman" w:cs="Times New Roman"/>
                <w:color w:val="000000"/>
              </w:rPr>
            </w:pPr>
            <w:r w:rsidRPr="00D060D1">
              <w:rPr>
                <w:rFonts w:eastAsia="Times New Roman" w:cs="Times New Roman"/>
                <w:color w:val="000000"/>
              </w:rPr>
              <w:t xml:space="preserve">N-Methyl-D-aspartate </w:t>
            </w:r>
            <w:r>
              <w:rPr>
                <w:rFonts w:eastAsia="Times New Roman" w:cs="Times New Roman"/>
                <w:color w:val="000000"/>
              </w:rPr>
              <w:t>(</w:t>
            </w:r>
            <w:r w:rsidR="00EB7531" w:rsidRPr="00AE595D">
              <w:rPr>
                <w:rFonts w:eastAsia="Times New Roman" w:cs="Times New Roman"/>
                <w:color w:val="000000"/>
              </w:rPr>
              <w:t>NMDA</w:t>
            </w:r>
            <w:r>
              <w:rPr>
                <w:rFonts w:eastAsia="Times New Roman" w:cs="Times New Roman"/>
                <w:color w:val="000000"/>
              </w:rPr>
              <w:t>)</w:t>
            </w:r>
            <w:r w:rsidR="00EB7531" w:rsidRPr="00AE595D">
              <w:rPr>
                <w:rFonts w:eastAsia="Times New Roman" w:cs="Times New Roman"/>
                <w:color w:val="000000"/>
              </w:rPr>
              <w:t xml:space="preserve"> antagonists (e.g., dextromethorphan)</w:t>
            </w:r>
          </w:p>
          <w:p w14:paraId="5C6A8080" w14:textId="77777777" w:rsidR="009B77D7" w:rsidRPr="009B77D7" w:rsidRDefault="009B77D7" w:rsidP="009B77D7">
            <w:pPr>
              <w:pStyle w:val="ListParagraph"/>
              <w:numPr>
                <w:ilvl w:val="0"/>
                <w:numId w:val="15"/>
              </w:numPr>
              <w:spacing w:after="120" w:line="240" w:lineRule="auto"/>
              <w:contextualSpacing w:val="0"/>
              <w:rPr>
                <w:rFonts w:eastAsia="Times New Roman" w:cs="Times New Roman"/>
                <w:b/>
                <w:color w:val="000000"/>
                <w:u w:val="single"/>
              </w:rPr>
            </w:pPr>
            <w:r w:rsidRPr="00AE595D">
              <w:rPr>
                <w:rFonts w:eastAsia="Times New Roman" w:cs="Times New Roman"/>
                <w:b/>
                <w:color w:val="000000"/>
                <w:u w:val="single"/>
              </w:rPr>
              <w:t>If available, adjuncts to consider for colorectal and gynecologic surgery:</w:t>
            </w:r>
          </w:p>
          <w:p w14:paraId="7CD0A568" w14:textId="6EE4B2C9" w:rsidR="005956DE" w:rsidRPr="00AE595D" w:rsidRDefault="00EB7531" w:rsidP="007F7E50">
            <w:pPr>
              <w:pStyle w:val="ListParagraph"/>
              <w:numPr>
                <w:ilvl w:val="1"/>
                <w:numId w:val="15"/>
              </w:numPr>
              <w:spacing w:after="120" w:line="240" w:lineRule="auto"/>
              <w:contextualSpacing w:val="0"/>
              <w:rPr>
                <w:rFonts w:eastAsia="Times New Roman" w:cs="Times New Roman"/>
                <w:color w:val="000000"/>
              </w:rPr>
            </w:pPr>
            <w:r w:rsidRPr="00AE595D">
              <w:rPr>
                <w:rFonts w:eastAsia="Times New Roman" w:cs="Times New Roman"/>
                <w:color w:val="000000"/>
              </w:rPr>
              <w:t>Mu opioid antagonists (</w:t>
            </w:r>
            <w:r w:rsidR="00CA59C8">
              <w:rPr>
                <w:rFonts w:eastAsia="Times New Roman" w:cs="Times New Roman"/>
                <w:color w:val="000000"/>
              </w:rPr>
              <w:t xml:space="preserve">e.g., </w:t>
            </w:r>
            <w:proofErr w:type="spellStart"/>
            <w:r w:rsidR="00D060D1">
              <w:rPr>
                <w:rFonts w:eastAsia="Times New Roman" w:cs="Times New Roman"/>
                <w:color w:val="000000"/>
              </w:rPr>
              <w:t>a</w:t>
            </w:r>
            <w:r w:rsidRPr="00AE595D">
              <w:rPr>
                <w:rFonts w:eastAsia="Times New Roman" w:cs="Times New Roman"/>
                <w:color w:val="000000"/>
              </w:rPr>
              <w:t>lvimopan</w:t>
            </w:r>
            <w:proofErr w:type="spellEnd"/>
            <w:r w:rsidRPr="00AE595D">
              <w:rPr>
                <w:rFonts w:eastAsia="Times New Roman" w:cs="Times New Roman"/>
                <w:color w:val="000000"/>
              </w:rPr>
              <w:t xml:space="preserve"> for a maximum of 7 days)</w:t>
            </w:r>
          </w:p>
        </w:tc>
        <w:tc>
          <w:tcPr>
            <w:tcW w:w="703" w:type="pct"/>
          </w:tcPr>
          <w:p w14:paraId="6B669119" w14:textId="6ABB80AA" w:rsidR="005956DE" w:rsidRPr="00AE595D" w:rsidRDefault="00C2156C" w:rsidP="00AE595D">
            <w:pPr>
              <w:spacing w:after="120" w:line="240" w:lineRule="auto"/>
              <w:rPr>
                <w:rFonts w:eastAsia="Times New Roman" w:cs="Times New Roman"/>
                <w:color w:val="000000"/>
              </w:rPr>
            </w:pPr>
            <w:r w:rsidRPr="007C7841">
              <w:rPr>
                <w:rFonts w:eastAsia="Times New Roman" w:cs="Times New Roman"/>
                <w:i/>
                <w:color w:val="000000"/>
              </w:rPr>
              <w:t xml:space="preserve">Enter </w:t>
            </w:r>
            <w:r w:rsidR="00350958">
              <w:rPr>
                <w:rFonts w:eastAsia="Times New Roman" w:cs="Times New Roman"/>
                <w:i/>
                <w:color w:val="000000"/>
              </w:rPr>
              <w:t xml:space="preserve">team decisions/notes </w:t>
            </w:r>
            <w:r w:rsidRPr="007C7841">
              <w:rPr>
                <w:rFonts w:eastAsia="Times New Roman" w:cs="Times New Roman"/>
                <w:i/>
                <w:color w:val="000000"/>
              </w:rPr>
              <w:t>here</w:t>
            </w:r>
          </w:p>
        </w:tc>
        <w:tc>
          <w:tcPr>
            <w:tcW w:w="956" w:type="pct"/>
          </w:tcPr>
          <w:p w14:paraId="58D951E9" w14:textId="59F3F833" w:rsidR="00FE350B" w:rsidRDefault="003023A5" w:rsidP="00AE595D">
            <w:pPr>
              <w:spacing w:after="120" w:line="240" w:lineRule="auto"/>
              <w:rPr>
                <w:rFonts w:eastAsia="Times New Roman" w:cs="Times New Roman"/>
                <w:b/>
                <w:color w:val="000000"/>
              </w:rPr>
            </w:pPr>
            <w:r>
              <w:rPr>
                <w:rFonts w:eastAsia="Times New Roman" w:cs="Times New Roman"/>
                <w:b/>
                <w:color w:val="000000"/>
              </w:rPr>
              <w:t>Tip</w:t>
            </w:r>
            <w:r w:rsidR="00FE350B">
              <w:rPr>
                <w:rFonts w:eastAsia="Times New Roman" w:cs="Times New Roman"/>
                <w:b/>
                <w:color w:val="000000"/>
              </w:rPr>
              <w:t xml:space="preserve">: </w:t>
            </w:r>
            <w:r w:rsidR="00FE350B" w:rsidRPr="00FE350B">
              <w:rPr>
                <w:rFonts w:eastAsia="Times New Roman" w:cs="Times New Roman"/>
                <w:color w:val="000000"/>
              </w:rPr>
              <w:t>Use your pharmacist to determine dosages and dosing schedules</w:t>
            </w:r>
            <w:r w:rsidR="008A4CA8">
              <w:rPr>
                <w:rFonts w:eastAsia="Times New Roman" w:cs="Times New Roman"/>
                <w:b/>
                <w:color w:val="000000"/>
              </w:rPr>
              <w:t>.</w:t>
            </w:r>
          </w:p>
          <w:p w14:paraId="24282BCB" w14:textId="126E19D8" w:rsidR="00EB7531"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EB7531" w:rsidRPr="00AE595D">
              <w:rPr>
                <w:rFonts w:eastAsia="Times New Roman" w:cs="Times New Roman"/>
                <w:b/>
                <w:color w:val="000000"/>
              </w:rPr>
              <w:t>:</w:t>
            </w:r>
            <w:r w:rsidR="00EB7531" w:rsidRPr="00AE595D">
              <w:rPr>
                <w:rFonts w:eastAsia="Times New Roman" w:cs="Times New Roman"/>
                <w:color w:val="000000"/>
              </w:rPr>
              <w:t xml:space="preserve"> Standardize multimodal </w:t>
            </w:r>
            <w:r w:rsidR="00552BB4">
              <w:rPr>
                <w:rFonts w:eastAsia="Times New Roman" w:cs="Times New Roman"/>
                <w:color w:val="000000"/>
              </w:rPr>
              <w:t xml:space="preserve">pain management options </w:t>
            </w:r>
            <w:r w:rsidR="00EB7531" w:rsidRPr="00AE595D">
              <w:rPr>
                <w:rFonts w:eastAsia="Times New Roman" w:cs="Times New Roman"/>
                <w:color w:val="000000"/>
              </w:rPr>
              <w:t xml:space="preserve">in order sets and </w:t>
            </w:r>
            <w:r w:rsidR="00552BB4">
              <w:rPr>
                <w:rFonts w:eastAsia="Times New Roman" w:cs="Times New Roman"/>
                <w:color w:val="000000"/>
              </w:rPr>
              <w:t>ensure</w:t>
            </w:r>
            <w:r w:rsidR="00552BB4" w:rsidRPr="00AE595D">
              <w:rPr>
                <w:rFonts w:eastAsia="Times New Roman" w:cs="Times New Roman"/>
                <w:color w:val="000000"/>
              </w:rPr>
              <w:t xml:space="preserve"> </w:t>
            </w:r>
            <w:r w:rsidR="00EB7531" w:rsidRPr="00AE595D">
              <w:rPr>
                <w:rFonts w:eastAsia="Times New Roman" w:cs="Times New Roman"/>
                <w:color w:val="000000"/>
              </w:rPr>
              <w:t xml:space="preserve">timing of meds </w:t>
            </w:r>
            <w:r w:rsidR="00552BB4">
              <w:rPr>
                <w:rFonts w:eastAsia="Times New Roman" w:cs="Times New Roman"/>
                <w:color w:val="000000"/>
              </w:rPr>
              <w:t xml:space="preserve">is </w:t>
            </w:r>
            <w:r w:rsidR="00EB7531" w:rsidRPr="00AE595D">
              <w:rPr>
                <w:rFonts w:eastAsia="Times New Roman" w:cs="Times New Roman"/>
                <w:color w:val="000000"/>
              </w:rPr>
              <w:t>conducive to patient sleep patterns</w:t>
            </w:r>
            <w:r w:rsidR="008A4CA8">
              <w:rPr>
                <w:rFonts w:eastAsia="Times New Roman" w:cs="Times New Roman"/>
                <w:color w:val="000000"/>
              </w:rPr>
              <w:t>.</w:t>
            </w:r>
          </w:p>
          <w:p w14:paraId="3424BD8C" w14:textId="13058333" w:rsidR="006826EF"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6826EF" w:rsidRPr="00AE595D">
              <w:rPr>
                <w:rFonts w:eastAsia="Times New Roman" w:cs="Times New Roman"/>
                <w:b/>
                <w:color w:val="000000"/>
              </w:rPr>
              <w:t>:</w:t>
            </w:r>
            <w:r w:rsidR="006826EF" w:rsidRPr="00AE595D">
              <w:rPr>
                <w:rFonts w:eastAsia="Times New Roman" w:cs="Times New Roman"/>
                <w:color w:val="000000"/>
              </w:rPr>
              <w:t xml:space="preserve"> Ensure physicians, nurses and patients are educated about benefits of pre-emptive analgesia and around</w:t>
            </w:r>
            <w:r w:rsidR="00350958">
              <w:rPr>
                <w:rFonts w:eastAsia="Times New Roman" w:cs="Times New Roman"/>
                <w:color w:val="000000"/>
              </w:rPr>
              <w:t>-</w:t>
            </w:r>
            <w:r w:rsidR="006826EF" w:rsidRPr="00AE595D">
              <w:rPr>
                <w:rFonts w:eastAsia="Times New Roman" w:cs="Times New Roman"/>
                <w:color w:val="000000"/>
              </w:rPr>
              <w:t>the</w:t>
            </w:r>
            <w:r w:rsidR="00350958">
              <w:rPr>
                <w:rFonts w:eastAsia="Times New Roman" w:cs="Times New Roman"/>
                <w:color w:val="000000"/>
              </w:rPr>
              <w:t>-</w:t>
            </w:r>
            <w:r w:rsidR="006826EF" w:rsidRPr="00AE595D">
              <w:rPr>
                <w:rFonts w:eastAsia="Times New Roman" w:cs="Times New Roman"/>
                <w:color w:val="000000"/>
              </w:rPr>
              <w:t>clock multimodal medications.</w:t>
            </w:r>
          </w:p>
          <w:p w14:paraId="0088838C" w14:textId="6E1BAD44" w:rsidR="006826EF"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6826EF" w:rsidRPr="00AE595D">
              <w:rPr>
                <w:rFonts w:eastAsia="Times New Roman" w:cs="Times New Roman"/>
                <w:b/>
                <w:color w:val="000000"/>
              </w:rPr>
              <w:t xml:space="preserve">: </w:t>
            </w:r>
            <w:r w:rsidR="00552BB4" w:rsidRPr="002A0AF8">
              <w:rPr>
                <w:rFonts w:eastAsia="Times New Roman" w:cs="Times New Roman"/>
                <w:color w:val="000000"/>
              </w:rPr>
              <w:t xml:space="preserve">Use </w:t>
            </w:r>
            <w:r w:rsidR="002A0AF8" w:rsidRPr="002A0AF8">
              <w:rPr>
                <w:rFonts w:eastAsia="Times New Roman" w:cs="Times New Roman"/>
                <w:color w:val="000000"/>
              </w:rPr>
              <w:t xml:space="preserve">patient-controlled analgesia pumps </w:t>
            </w:r>
            <w:r w:rsidR="006826EF" w:rsidRPr="00AE595D">
              <w:rPr>
                <w:rFonts w:eastAsia="Times New Roman" w:cs="Times New Roman"/>
                <w:color w:val="000000"/>
              </w:rPr>
              <w:t xml:space="preserve">initially with a demand dose </w:t>
            </w:r>
            <w:r w:rsidR="00552BB4">
              <w:rPr>
                <w:rFonts w:eastAsia="Times New Roman" w:cs="Times New Roman"/>
                <w:color w:val="000000"/>
              </w:rPr>
              <w:t>which</w:t>
            </w:r>
            <w:r w:rsidR="00552BB4" w:rsidRPr="00AE595D">
              <w:rPr>
                <w:rFonts w:eastAsia="Times New Roman" w:cs="Times New Roman"/>
                <w:color w:val="000000"/>
              </w:rPr>
              <w:t xml:space="preserve"> </w:t>
            </w:r>
            <w:r w:rsidR="006826EF" w:rsidRPr="00AE595D">
              <w:rPr>
                <w:rFonts w:eastAsia="Times New Roman" w:cs="Times New Roman"/>
                <w:color w:val="000000"/>
              </w:rPr>
              <w:t xml:space="preserve">may be considered for </w:t>
            </w:r>
            <w:r w:rsidR="00552BB4">
              <w:rPr>
                <w:rFonts w:eastAsia="Times New Roman" w:cs="Times New Roman"/>
                <w:color w:val="000000"/>
              </w:rPr>
              <w:t>major</w:t>
            </w:r>
            <w:r w:rsidR="00552BB4" w:rsidRPr="00AE595D">
              <w:rPr>
                <w:rFonts w:eastAsia="Times New Roman" w:cs="Times New Roman"/>
                <w:color w:val="000000"/>
              </w:rPr>
              <w:t xml:space="preserve"> </w:t>
            </w:r>
            <w:r w:rsidR="006826EF" w:rsidRPr="00AE595D">
              <w:rPr>
                <w:rFonts w:eastAsia="Times New Roman" w:cs="Times New Roman"/>
                <w:color w:val="000000"/>
              </w:rPr>
              <w:t xml:space="preserve">abdominal </w:t>
            </w:r>
            <w:r w:rsidR="0005466C">
              <w:rPr>
                <w:rFonts w:eastAsia="Times New Roman" w:cs="Times New Roman"/>
                <w:color w:val="000000"/>
              </w:rPr>
              <w:t>procedures</w:t>
            </w:r>
            <w:r w:rsidR="00552BB4" w:rsidRPr="00AE595D">
              <w:rPr>
                <w:rFonts w:eastAsia="Times New Roman" w:cs="Times New Roman"/>
                <w:color w:val="000000"/>
              </w:rPr>
              <w:t xml:space="preserve"> </w:t>
            </w:r>
            <w:r w:rsidR="006826EF" w:rsidRPr="00AE595D">
              <w:rPr>
                <w:rFonts w:eastAsia="Times New Roman" w:cs="Times New Roman"/>
                <w:color w:val="000000"/>
              </w:rPr>
              <w:t>where optimal pain control cannot be obtained with multimodal analgesia.</w:t>
            </w:r>
          </w:p>
          <w:p w14:paraId="102B439D" w14:textId="50920AF1" w:rsidR="005956DE" w:rsidRPr="00AE595D" w:rsidRDefault="003023A5" w:rsidP="00AE595D">
            <w:pPr>
              <w:spacing w:after="120" w:line="240" w:lineRule="auto"/>
              <w:rPr>
                <w:rFonts w:eastAsia="Times New Roman" w:cs="Times New Roman"/>
                <w:color w:val="000000"/>
              </w:rPr>
            </w:pPr>
            <w:r>
              <w:rPr>
                <w:rFonts w:eastAsia="Times New Roman" w:cs="Times New Roman"/>
                <w:b/>
                <w:color w:val="000000"/>
              </w:rPr>
              <w:t>Tip</w:t>
            </w:r>
            <w:r w:rsidR="00EB7531" w:rsidRPr="00AE595D">
              <w:rPr>
                <w:rFonts w:eastAsia="Times New Roman" w:cs="Times New Roman"/>
                <w:b/>
                <w:color w:val="000000"/>
              </w:rPr>
              <w:t>:</w:t>
            </w:r>
            <w:r w:rsidR="00EB7531" w:rsidRPr="00AE595D">
              <w:rPr>
                <w:rFonts w:eastAsia="Times New Roman" w:cs="Times New Roman"/>
                <w:color w:val="000000"/>
              </w:rPr>
              <w:t xml:space="preserve"> Avoid gabapentin in elderly patients and patients at risk for respiratory depression as it can promote excessive drowsiness.</w:t>
            </w:r>
          </w:p>
        </w:tc>
        <w:tc>
          <w:tcPr>
            <w:tcW w:w="701" w:type="pct"/>
          </w:tcPr>
          <w:p w14:paraId="66CDA8E3" w14:textId="77777777" w:rsidR="00EB7531" w:rsidRPr="00BF5037" w:rsidRDefault="00EB7531" w:rsidP="00AE595D">
            <w:pPr>
              <w:spacing w:after="120" w:line="240" w:lineRule="auto"/>
              <w:rPr>
                <w:rFonts w:eastAsia="Times New Roman" w:cs="Times New Roman"/>
                <w:bCs/>
                <w:color w:val="000000"/>
              </w:rPr>
            </w:pPr>
            <w:r w:rsidRPr="00BF5037">
              <w:rPr>
                <w:rFonts w:eastAsia="Times New Roman" w:cs="Times New Roman"/>
                <w:bCs/>
                <w:color w:val="000000"/>
              </w:rPr>
              <w:t xml:space="preserve">Multimodal </w:t>
            </w:r>
            <w:r w:rsidR="00BF5037" w:rsidRPr="00BF5037">
              <w:rPr>
                <w:rFonts w:eastAsia="Times New Roman" w:cs="Times New Roman"/>
                <w:bCs/>
                <w:color w:val="000000"/>
              </w:rPr>
              <w:t>pain management</w:t>
            </w:r>
          </w:p>
          <w:p w14:paraId="7AD50369" w14:textId="77777777" w:rsidR="005956DE" w:rsidRPr="00AE595D" w:rsidRDefault="005956DE" w:rsidP="00AE595D">
            <w:pPr>
              <w:spacing w:after="120" w:line="240" w:lineRule="auto"/>
              <w:rPr>
                <w:rFonts w:eastAsia="Times New Roman" w:cs="Times New Roman"/>
                <w:b/>
                <w:bCs/>
                <w:color w:val="000000"/>
              </w:rPr>
            </w:pPr>
          </w:p>
        </w:tc>
      </w:tr>
    </w:tbl>
    <w:p w14:paraId="291138B4" w14:textId="2B057F41" w:rsidR="00605B85" w:rsidRPr="00AE595D" w:rsidRDefault="00350958" w:rsidP="00AE595D">
      <w:pPr>
        <w:spacing w:after="120" w:line="240" w:lineRule="auto"/>
        <w:rPr>
          <w:rFonts w:eastAsia="Times New Roman" w:cs="Times New Roman"/>
          <w:b/>
          <w:bCs/>
          <w:color w:val="000000"/>
        </w:rPr>
      </w:pPr>
      <w:r w:rsidRPr="00AE595D">
        <w:t>Abbreviations:</w:t>
      </w:r>
      <w:r>
        <w:t xml:space="preserve"> ISCR = Improving Surgical Care and Recovery</w:t>
      </w:r>
      <w:r w:rsidRPr="00AE595D">
        <w:rPr>
          <w:rFonts w:eastAsia="Times New Roman" w:cs="Times New Roman"/>
          <w:b/>
          <w:bCs/>
          <w:color w:val="000000"/>
        </w:rPr>
        <w:t xml:space="preserve"> </w:t>
      </w:r>
      <w:r w:rsidR="00605B85" w:rsidRPr="00AE595D">
        <w:rPr>
          <w:rFonts w:eastAsia="Times New Roman" w:cs="Times New Roman"/>
          <w:b/>
          <w:bCs/>
          <w:color w:val="000000"/>
        </w:rPr>
        <w:br w:type="page"/>
      </w:r>
    </w:p>
    <w:p w14:paraId="14B92CF5" w14:textId="77777777" w:rsidR="006A1585" w:rsidRDefault="006A1585">
      <w:pPr>
        <w:pStyle w:val="Heading2"/>
      </w:pPr>
      <w:bookmarkStart w:id="38" w:name="_Toc117000817"/>
      <w:r w:rsidRPr="00AE595D">
        <w:lastRenderedPageBreak/>
        <w:t>Postoperative</w:t>
      </w:r>
      <w:r w:rsidR="00F604B6" w:rsidRPr="00F604B6">
        <w:t xml:space="preserve"> Early Alimentation</w:t>
      </w:r>
      <w:bookmarkEnd w:id="38"/>
      <w:r w:rsidRPr="00AE595D">
        <w:t xml:space="preserve"> </w:t>
      </w:r>
    </w:p>
    <w:p w14:paraId="1EFE6522" w14:textId="77777777" w:rsidR="00F604B6" w:rsidRPr="00F604B6" w:rsidRDefault="00F604B6" w:rsidP="00F604B6">
      <w:pPr>
        <w:pStyle w:val="BodyText1"/>
      </w:pPr>
      <w:r w:rsidRPr="00F604B6">
        <w:t>Early postoperative feeding is recommended for patients unless they experience nausea or vomiting.</w:t>
      </w:r>
    </w:p>
    <w:p w14:paraId="207A90B0" w14:textId="77777777" w:rsidR="00F604B6" w:rsidRPr="00E60BDE" w:rsidRDefault="00F604B6" w:rsidP="00E60BDE">
      <w:pPr>
        <w:pStyle w:val="Bullet1"/>
      </w:pPr>
      <w:r w:rsidRPr="00E60BDE">
        <w:rPr>
          <w:i/>
        </w:rPr>
        <w:t>Considerations for hip fracture procedures:</w:t>
      </w:r>
      <w:r w:rsidRPr="00E60BDE">
        <w:t xml:space="preserve"> There is currently no evidence supporting the use of nasogastric or parenteral nutrition or supplementation with respect to mor</w:t>
      </w:r>
      <w:r w:rsidR="00CA59C8">
        <w:t>t</w:t>
      </w:r>
      <w:r w:rsidRPr="00E60BDE">
        <w:t>ality or complications.</w:t>
      </w:r>
    </w:p>
    <w:p w14:paraId="190D606B" w14:textId="0DBA91C0" w:rsidR="00F604B6" w:rsidRPr="00E60BDE" w:rsidRDefault="00F604B6" w:rsidP="00E60BDE">
      <w:pPr>
        <w:pStyle w:val="Bullet1"/>
      </w:pPr>
      <w:r w:rsidRPr="00E60BDE">
        <w:rPr>
          <w:i/>
        </w:rPr>
        <w:t>Considerations for gynecolog</w:t>
      </w:r>
      <w:r w:rsidR="00CA59C8">
        <w:rPr>
          <w:i/>
        </w:rPr>
        <w:t>ic</w:t>
      </w:r>
      <w:r w:rsidRPr="00E60BDE">
        <w:rPr>
          <w:i/>
        </w:rPr>
        <w:t xml:space="preserve"> procedures:</w:t>
      </w:r>
      <w:r w:rsidRPr="00E60BDE">
        <w:t xml:space="preserve"> Encourage oral intake as early as 4 hours following surgery and advance as tolerated per patient.</w:t>
      </w:r>
    </w:p>
    <w:p w14:paraId="3138B05B" w14:textId="5587088D" w:rsidR="00F604B6" w:rsidRPr="00E60BDE" w:rsidRDefault="00F604B6" w:rsidP="00E60BDE">
      <w:pPr>
        <w:pStyle w:val="Bullet1"/>
      </w:pPr>
      <w:r w:rsidRPr="00E60BDE">
        <w:rPr>
          <w:i/>
        </w:rPr>
        <w:t>Considerations for</w:t>
      </w:r>
      <w:r w:rsidR="00350958">
        <w:rPr>
          <w:i/>
        </w:rPr>
        <w:t xml:space="preserve"> emergency general surgery</w:t>
      </w:r>
      <w:r w:rsidRPr="00E60BDE">
        <w:rPr>
          <w:i/>
        </w:rPr>
        <w:t xml:space="preserve"> </w:t>
      </w:r>
      <w:r w:rsidR="00FD2CFF">
        <w:rPr>
          <w:i/>
        </w:rPr>
        <w:t>(</w:t>
      </w:r>
      <w:r w:rsidRPr="00E60BDE">
        <w:rPr>
          <w:i/>
        </w:rPr>
        <w:t>major abdominal procedures</w:t>
      </w:r>
      <w:r w:rsidR="00FD2CFF">
        <w:rPr>
          <w:i/>
        </w:rPr>
        <w:t>)</w:t>
      </w:r>
      <w:r w:rsidRPr="00E60BDE">
        <w:rPr>
          <w:i/>
        </w:rPr>
        <w:t>:</w:t>
      </w:r>
      <w:r w:rsidRPr="00E60BDE">
        <w:t xml:space="preserve"> Initiation of enteral feeding of patients who require gastric content diversion or are anticipated to have a prolonged preoperative ileus should be considered on a case-by-case basis. Enteral feeding is preferred over parental whenever possible.</w:t>
      </w:r>
    </w:p>
    <w:p w14:paraId="66D25179" w14:textId="77777777" w:rsidR="006F533C" w:rsidRPr="00AE595D" w:rsidRDefault="006F533C" w:rsidP="006F533C">
      <w:pPr>
        <w:pStyle w:val="Bullet1"/>
        <w:numPr>
          <w:ilvl w:val="0"/>
          <w:numId w:val="0"/>
        </w:numPr>
        <w:spacing w:after="0" w:line="240" w:lineRule="auto"/>
        <w:ind w:left="720"/>
      </w:pPr>
    </w:p>
    <w:tbl>
      <w:tblPr>
        <w:tblStyle w:val="GridTable1Light1"/>
        <w:tblW w:w="5000" w:type="pct"/>
        <w:tblLook w:val="0600" w:firstRow="0" w:lastRow="0" w:firstColumn="0" w:lastColumn="0" w:noHBand="1" w:noVBand="1"/>
      </w:tblPr>
      <w:tblGrid>
        <w:gridCol w:w="1879"/>
        <w:gridCol w:w="1893"/>
        <w:gridCol w:w="5762"/>
        <w:gridCol w:w="3330"/>
        <w:gridCol w:w="3243"/>
        <w:gridCol w:w="6923"/>
      </w:tblGrid>
      <w:tr w:rsidR="004B3D41" w:rsidRPr="00F604B6" w14:paraId="09B7DA28" w14:textId="77777777" w:rsidTr="00F604B6">
        <w:trPr>
          <w:cantSplit/>
          <w:trHeight w:val="973"/>
          <w:tblHeader/>
        </w:trPr>
        <w:tc>
          <w:tcPr>
            <w:tcW w:w="408" w:type="pct"/>
            <w:hideMark/>
          </w:tcPr>
          <w:p w14:paraId="2D8C7490" w14:textId="49763031" w:rsidR="004B3D41" w:rsidRPr="00F604B6" w:rsidRDefault="004B3D41" w:rsidP="00F604B6">
            <w:pPr>
              <w:pStyle w:val="TableParagraph"/>
              <w:rPr>
                <w:rStyle w:val="Strong"/>
              </w:rPr>
            </w:pPr>
            <w:r w:rsidRPr="00F604B6">
              <w:rPr>
                <w:rStyle w:val="Strong"/>
              </w:rPr>
              <w:t xml:space="preserve">Pathway </w:t>
            </w:r>
          </w:p>
        </w:tc>
        <w:tc>
          <w:tcPr>
            <w:tcW w:w="411" w:type="pct"/>
            <w:hideMark/>
          </w:tcPr>
          <w:p w14:paraId="0060777B" w14:textId="77777777" w:rsidR="004B3D41" w:rsidRPr="00F604B6" w:rsidRDefault="004B3D41" w:rsidP="00F604B6">
            <w:pPr>
              <w:pStyle w:val="TableParagraph"/>
              <w:rPr>
                <w:rStyle w:val="Strong"/>
              </w:rPr>
            </w:pPr>
            <w:r w:rsidRPr="00F604B6">
              <w:rPr>
                <w:rStyle w:val="Strong"/>
              </w:rPr>
              <w:t>Component</w:t>
            </w:r>
          </w:p>
        </w:tc>
        <w:tc>
          <w:tcPr>
            <w:tcW w:w="1251" w:type="pct"/>
            <w:hideMark/>
          </w:tcPr>
          <w:p w14:paraId="0FD461E2" w14:textId="385FFEF0" w:rsidR="00881220" w:rsidRDefault="004B3D41" w:rsidP="00F604B6">
            <w:pPr>
              <w:pStyle w:val="TableParagraph"/>
              <w:rPr>
                <w:rStyle w:val="Strong"/>
              </w:rPr>
            </w:pPr>
            <w:r w:rsidRPr="00F604B6">
              <w:rPr>
                <w:rStyle w:val="Strong"/>
              </w:rPr>
              <w:t xml:space="preserve">Example Processes </w:t>
            </w:r>
            <w:r w:rsidR="00350958">
              <w:rPr>
                <w:rStyle w:val="Strong"/>
              </w:rPr>
              <w:t>T</w:t>
            </w:r>
            <w:r w:rsidRPr="00F604B6">
              <w:rPr>
                <w:rStyle w:val="Strong"/>
              </w:rPr>
              <w:t>o Consider</w:t>
            </w:r>
          </w:p>
          <w:p w14:paraId="61BBD76B" w14:textId="77777777" w:rsidR="004B3D41" w:rsidRPr="00881220" w:rsidRDefault="00881220" w:rsidP="00F604B6">
            <w:pPr>
              <w:pStyle w:val="TableParagraph"/>
              <w:rPr>
                <w:rStyle w:val="Strong"/>
                <w:b w:val="0"/>
                <w:i/>
              </w:rPr>
            </w:pPr>
            <w:r w:rsidRPr="00881220">
              <w:rPr>
                <w:rStyle w:val="Strong"/>
                <w:b w:val="0"/>
                <w:i/>
              </w:rPr>
              <w:t>A</w:t>
            </w:r>
            <w:r w:rsidR="004B3D41" w:rsidRPr="00881220">
              <w:rPr>
                <w:rStyle w:val="Strong"/>
                <w:b w:val="0"/>
                <w:i/>
              </w:rPr>
              <w:t>s a team, go through each component and discuss what approach best fits your hospital. It may be an option other than what is listed below.</w:t>
            </w:r>
          </w:p>
        </w:tc>
        <w:tc>
          <w:tcPr>
            <w:tcW w:w="723" w:type="pct"/>
            <w:hideMark/>
          </w:tcPr>
          <w:p w14:paraId="7E44148B" w14:textId="77777777" w:rsidR="004B3D41" w:rsidRPr="00F604B6" w:rsidRDefault="004B3D41" w:rsidP="00F604B6">
            <w:pPr>
              <w:pStyle w:val="TableParagraph"/>
              <w:rPr>
                <w:rStyle w:val="Strong"/>
              </w:rPr>
            </w:pPr>
            <w:r w:rsidRPr="00F604B6">
              <w:rPr>
                <w:rStyle w:val="Strong"/>
              </w:rPr>
              <w:t>Team Decisions/Notes</w:t>
            </w:r>
          </w:p>
          <w:p w14:paraId="14D50166" w14:textId="77777777" w:rsidR="004B3D41" w:rsidRPr="00881220" w:rsidRDefault="004B3D41" w:rsidP="00F604B6">
            <w:pPr>
              <w:pStyle w:val="TableParagraph"/>
              <w:rPr>
                <w:rStyle w:val="Strong"/>
                <w:b w:val="0"/>
                <w:i/>
              </w:rPr>
            </w:pPr>
            <w:r w:rsidRPr="00881220">
              <w:rPr>
                <w:rStyle w:val="Strong"/>
                <w:b w:val="0"/>
                <w:i/>
              </w:rPr>
              <w:t>As a team, note exceptions and contraindications to the treatment or medications.</w:t>
            </w:r>
          </w:p>
        </w:tc>
        <w:tc>
          <w:tcPr>
            <w:tcW w:w="704" w:type="pct"/>
            <w:hideMark/>
          </w:tcPr>
          <w:p w14:paraId="4AA364EB" w14:textId="5B0283C3" w:rsidR="004B3D41" w:rsidRPr="00F604B6" w:rsidRDefault="00AA140E" w:rsidP="00F604B6">
            <w:pPr>
              <w:pStyle w:val="TableParagraph"/>
              <w:rPr>
                <w:rStyle w:val="Strong"/>
              </w:rPr>
            </w:pPr>
            <w:r>
              <w:rPr>
                <w:rStyle w:val="Strong"/>
              </w:rPr>
              <w:t xml:space="preserve">Other Available Resources </w:t>
            </w:r>
            <w:r w:rsidR="00350958">
              <w:rPr>
                <w:rStyle w:val="Strong"/>
              </w:rPr>
              <w:t>and</w:t>
            </w:r>
            <w:r>
              <w:rPr>
                <w:rStyle w:val="Strong"/>
              </w:rPr>
              <w:t xml:space="preserve"> Tips </w:t>
            </w:r>
            <w:r w:rsidR="00350958">
              <w:rPr>
                <w:rStyle w:val="Strong"/>
              </w:rPr>
              <w:t>T</w:t>
            </w:r>
            <w:r>
              <w:rPr>
                <w:rStyle w:val="Strong"/>
              </w:rPr>
              <w:t>o Consider</w:t>
            </w:r>
          </w:p>
        </w:tc>
        <w:tc>
          <w:tcPr>
            <w:tcW w:w="1503" w:type="pct"/>
            <w:hideMark/>
          </w:tcPr>
          <w:p w14:paraId="7963746B" w14:textId="77777777" w:rsidR="0019570D" w:rsidRPr="009F40B9" w:rsidRDefault="0019570D" w:rsidP="0019570D">
            <w:pPr>
              <w:pStyle w:val="TableParagraph"/>
              <w:rPr>
                <w:rStyle w:val="Strong"/>
              </w:rPr>
            </w:pPr>
            <w:r w:rsidRPr="009F40B9">
              <w:rPr>
                <w:rStyle w:val="Strong"/>
              </w:rPr>
              <w:t>ISCR Measures</w:t>
            </w:r>
          </w:p>
          <w:p w14:paraId="77762008" w14:textId="77777777" w:rsidR="004B3D41" w:rsidRPr="00F604B6"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321F1979" w14:textId="77777777" w:rsidTr="00F604B6">
        <w:trPr>
          <w:cantSplit/>
          <w:trHeight w:val="334"/>
        </w:trPr>
        <w:tc>
          <w:tcPr>
            <w:tcW w:w="408" w:type="pct"/>
            <w:hideMark/>
          </w:tcPr>
          <w:p w14:paraId="6D38DEC2" w14:textId="77777777" w:rsidR="005956DE" w:rsidRPr="00881220" w:rsidRDefault="0031170A" w:rsidP="00F604B6">
            <w:pPr>
              <w:pStyle w:val="TableParagraph"/>
              <w:rPr>
                <w:b/>
              </w:rPr>
            </w:pPr>
            <w:r w:rsidRPr="00881220">
              <w:rPr>
                <w:b/>
              </w:rPr>
              <w:t>All ISCR Pathways</w:t>
            </w:r>
            <w:r w:rsidR="005956DE" w:rsidRPr="00881220">
              <w:rPr>
                <w:b/>
              </w:rPr>
              <w:t xml:space="preserve"> </w:t>
            </w:r>
          </w:p>
        </w:tc>
        <w:tc>
          <w:tcPr>
            <w:tcW w:w="411" w:type="pct"/>
          </w:tcPr>
          <w:p w14:paraId="39C6BB74" w14:textId="77777777" w:rsidR="005956DE" w:rsidRPr="00881220" w:rsidRDefault="005956DE" w:rsidP="00F604B6">
            <w:pPr>
              <w:pStyle w:val="TableParagraph"/>
              <w:rPr>
                <w:b/>
              </w:rPr>
            </w:pPr>
            <w:r w:rsidRPr="00881220">
              <w:rPr>
                <w:b/>
              </w:rPr>
              <w:t>Early Alimentation</w:t>
            </w:r>
          </w:p>
        </w:tc>
        <w:tc>
          <w:tcPr>
            <w:tcW w:w="1251" w:type="pct"/>
          </w:tcPr>
          <w:p w14:paraId="1812181A" w14:textId="77777777" w:rsidR="005956DE" w:rsidRPr="00881220" w:rsidRDefault="005956DE" w:rsidP="00526834">
            <w:pPr>
              <w:pStyle w:val="TableParagraph"/>
              <w:spacing w:after="120" w:line="240" w:lineRule="auto"/>
              <w:rPr>
                <w:rFonts w:eastAsia="Times New Roman" w:cs="Times New Roman"/>
                <w:b/>
              </w:rPr>
            </w:pPr>
            <w:r w:rsidRPr="00881220">
              <w:rPr>
                <w:rFonts w:eastAsia="Times New Roman" w:cs="Times New Roman"/>
                <w:b/>
              </w:rPr>
              <w:t xml:space="preserve">Choose your approach: </w:t>
            </w:r>
          </w:p>
          <w:p w14:paraId="09335173" w14:textId="7F444ACA" w:rsidR="005956DE" w:rsidRPr="00AE595D" w:rsidRDefault="005956DE" w:rsidP="00F604B6">
            <w:pPr>
              <w:pStyle w:val="Bullet1"/>
            </w:pPr>
            <w:r w:rsidRPr="00AE595D">
              <w:t>Clear</w:t>
            </w:r>
            <w:r w:rsidR="00216814">
              <w:t xml:space="preserve"> liquids</w:t>
            </w:r>
            <w:r w:rsidRPr="00AE595D">
              <w:t xml:space="preserve"> </w:t>
            </w:r>
            <w:r w:rsidR="002D7076">
              <w:t>postoperative day (</w:t>
            </w:r>
            <w:r w:rsidRPr="00AE595D">
              <w:t>POD</w:t>
            </w:r>
            <w:r w:rsidR="002D7076">
              <w:t>)</w:t>
            </w:r>
            <w:r w:rsidRPr="00AE595D">
              <w:t xml:space="preserve"> 0 </w:t>
            </w:r>
          </w:p>
          <w:p w14:paraId="10C85E81" w14:textId="77777777" w:rsidR="009D48C0" w:rsidRPr="009D48C0" w:rsidRDefault="005956DE" w:rsidP="009D48C0">
            <w:pPr>
              <w:pStyle w:val="Bullet1"/>
              <w:rPr>
                <w:rFonts w:eastAsia="Times New Roman" w:cs="Times New Roman"/>
              </w:rPr>
            </w:pPr>
            <w:r w:rsidRPr="00AE595D">
              <w:t xml:space="preserve">Regular diet POD 0 </w:t>
            </w:r>
          </w:p>
        </w:tc>
        <w:tc>
          <w:tcPr>
            <w:tcW w:w="723" w:type="pct"/>
          </w:tcPr>
          <w:p w14:paraId="71DE3767" w14:textId="7BFD928D" w:rsidR="005956DE" w:rsidRPr="00AE595D" w:rsidRDefault="00C2156C" w:rsidP="00F604B6">
            <w:pPr>
              <w:pStyle w:val="TableParagraph"/>
              <w:rPr>
                <w:rFonts w:eastAsia="Times New Roman" w:cs="Times New Roman"/>
                <w:color w:val="000000"/>
              </w:rPr>
            </w:pPr>
            <w:r w:rsidRPr="007C7841">
              <w:rPr>
                <w:rFonts w:eastAsia="Times New Roman" w:cs="Times New Roman"/>
                <w:i/>
                <w:color w:val="000000"/>
              </w:rPr>
              <w:t xml:space="preserve">Enter </w:t>
            </w:r>
            <w:r w:rsidR="00350958">
              <w:rPr>
                <w:rFonts w:eastAsia="Times New Roman" w:cs="Times New Roman"/>
                <w:i/>
                <w:color w:val="000000"/>
              </w:rPr>
              <w:t xml:space="preserve">team decisions/notes </w:t>
            </w:r>
            <w:r w:rsidRPr="007C7841">
              <w:rPr>
                <w:rFonts w:eastAsia="Times New Roman" w:cs="Times New Roman"/>
                <w:i/>
                <w:color w:val="000000"/>
              </w:rPr>
              <w:t>here</w:t>
            </w:r>
          </w:p>
        </w:tc>
        <w:tc>
          <w:tcPr>
            <w:tcW w:w="704" w:type="pct"/>
          </w:tcPr>
          <w:p w14:paraId="750061A0" w14:textId="2FAC65DF" w:rsidR="005956DE" w:rsidRPr="00AE595D" w:rsidRDefault="003023A5" w:rsidP="00F604B6">
            <w:pPr>
              <w:pStyle w:val="TableParagraph"/>
              <w:rPr>
                <w:rFonts w:eastAsia="Times New Roman" w:cs="Times New Roman"/>
                <w:color w:val="000000"/>
              </w:rPr>
            </w:pPr>
            <w:r>
              <w:rPr>
                <w:rFonts w:eastAsia="Times New Roman" w:cs="Times New Roman"/>
                <w:b/>
                <w:color w:val="000000"/>
              </w:rPr>
              <w:t>Tip</w:t>
            </w:r>
            <w:r w:rsidR="005956DE" w:rsidRPr="00F604B6">
              <w:rPr>
                <w:rFonts w:eastAsia="Times New Roman" w:cs="Times New Roman"/>
                <w:b/>
                <w:color w:val="000000"/>
              </w:rPr>
              <w:t>:</w:t>
            </w:r>
            <w:r w:rsidR="005956DE" w:rsidRPr="00AE595D">
              <w:rPr>
                <w:rFonts w:eastAsia="Times New Roman" w:cs="Times New Roman"/>
                <w:color w:val="000000"/>
              </w:rPr>
              <w:t xml:space="preserve"> Offer patient </w:t>
            </w:r>
            <w:r w:rsidR="0030446C">
              <w:rPr>
                <w:rFonts w:eastAsia="Times New Roman" w:cs="Times New Roman"/>
                <w:color w:val="000000"/>
              </w:rPr>
              <w:t xml:space="preserve">a </w:t>
            </w:r>
            <w:r w:rsidR="005956DE" w:rsidRPr="00AE595D">
              <w:rPr>
                <w:rFonts w:eastAsia="Times New Roman" w:cs="Times New Roman"/>
                <w:color w:val="000000"/>
              </w:rPr>
              <w:t>glass of water prior to leaving recovery room</w:t>
            </w:r>
            <w:r w:rsidR="008A4CA8">
              <w:rPr>
                <w:rFonts w:eastAsia="Times New Roman" w:cs="Times New Roman"/>
                <w:color w:val="000000"/>
              </w:rPr>
              <w:t>.</w:t>
            </w:r>
          </w:p>
        </w:tc>
        <w:tc>
          <w:tcPr>
            <w:tcW w:w="1503" w:type="pct"/>
          </w:tcPr>
          <w:p w14:paraId="2AAE3707" w14:textId="79633B98" w:rsidR="005956DE" w:rsidRPr="00AE595D" w:rsidRDefault="00BF5037" w:rsidP="00F604B6">
            <w:pPr>
              <w:pStyle w:val="TableParagraph"/>
              <w:rPr>
                <w:rFonts w:eastAsia="Times New Roman" w:cs="Times New Roman"/>
                <w:color w:val="000000"/>
              </w:rPr>
            </w:pPr>
            <w:r>
              <w:rPr>
                <w:rFonts w:eastAsia="Times New Roman" w:cs="Times New Roman"/>
                <w:color w:val="000000"/>
              </w:rPr>
              <w:t>F</w:t>
            </w:r>
            <w:r w:rsidRPr="00AE595D">
              <w:rPr>
                <w:rFonts w:eastAsia="Times New Roman" w:cs="Times New Roman"/>
                <w:color w:val="000000"/>
              </w:rPr>
              <w:t>irst postop</w:t>
            </w:r>
            <w:r w:rsidR="00350958">
              <w:rPr>
                <w:rFonts w:eastAsia="Times New Roman" w:cs="Times New Roman"/>
                <w:color w:val="000000"/>
              </w:rPr>
              <w:t>erative</w:t>
            </w:r>
            <w:r w:rsidRPr="00AE595D">
              <w:rPr>
                <w:rFonts w:eastAsia="Times New Roman" w:cs="Times New Roman"/>
                <w:color w:val="000000"/>
              </w:rPr>
              <w:t xml:space="preserve"> intake of liquids</w:t>
            </w:r>
          </w:p>
          <w:p w14:paraId="7881E3C7" w14:textId="2DB01446" w:rsidR="005956DE" w:rsidRPr="00AE595D" w:rsidRDefault="00BF5037" w:rsidP="00F604B6">
            <w:pPr>
              <w:pStyle w:val="TableParagraph"/>
              <w:rPr>
                <w:rFonts w:eastAsia="Times New Roman" w:cs="Times New Roman"/>
                <w:color w:val="000000"/>
              </w:rPr>
            </w:pPr>
            <w:r>
              <w:rPr>
                <w:rFonts w:eastAsia="Times New Roman" w:cs="Times New Roman"/>
                <w:color w:val="000000"/>
              </w:rPr>
              <w:t>F</w:t>
            </w:r>
            <w:r w:rsidRPr="00AE595D">
              <w:rPr>
                <w:rFonts w:eastAsia="Times New Roman" w:cs="Times New Roman"/>
                <w:color w:val="000000"/>
              </w:rPr>
              <w:t>irst postop</w:t>
            </w:r>
            <w:r w:rsidR="00350958">
              <w:rPr>
                <w:rFonts w:eastAsia="Times New Roman" w:cs="Times New Roman"/>
                <w:color w:val="000000"/>
              </w:rPr>
              <w:t>erative</w:t>
            </w:r>
            <w:r w:rsidRPr="00AE595D">
              <w:rPr>
                <w:rFonts w:eastAsia="Times New Roman" w:cs="Times New Roman"/>
                <w:color w:val="000000"/>
              </w:rPr>
              <w:t xml:space="preserve"> intake of solids</w:t>
            </w:r>
          </w:p>
          <w:p w14:paraId="2A0C3A23" w14:textId="77777777" w:rsidR="005956DE" w:rsidRPr="00AE595D" w:rsidRDefault="00BF5037" w:rsidP="00F604B6">
            <w:pPr>
              <w:pStyle w:val="TableParagraph"/>
              <w:rPr>
                <w:rFonts w:eastAsia="Times New Roman" w:cs="Times New Roman"/>
                <w:i/>
                <w:color w:val="000000"/>
              </w:rPr>
            </w:pPr>
            <w:r>
              <w:rPr>
                <w:rFonts w:eastAsia="Times New Roman" w:cs="Times New Roman"/>
              </w:rPr>
              <w:t>D</w:t>
            </w:r>
            <w:r w:rsidRPr="00AE595D">
              <w:rPr>
                <w:rFonts w:eastAsia="Times New Roman" w:cs="Times New Roman"/>
              </w:rPr>
              <w:t xml:space="preserve">ate tolerating diet </w:t>
            </w:r>
          </w:p>
        </w:tc>
      </w:tr>
    </w:tbl>
    <w:p w14:paraId="6E20F8BE" w14:textId="49EC329E" w:rsidR="004B3D41" w:rsidRPr="00AE595D" w:rsidRDefault="00350958" w:rsidP="00AE595D">
      <w:pPr>
        <w:spacing w:after="120" w:line="240" w:lineRule="auto"/>
        <w:rPr>
          <w:b/>
        </w:rPr>
      </w:pPr>
      <w:r w:rsidRPr="00AE595D">
        <w:t>Abbreviations:</w:t>
      </w:r>
      <w:r>
        <w:t xml:space="preserve"> ISCR = Improving Surgical Care and Recovery</w:t>
      </w:r>
    </w:p>
    <w:p w14:paraId="01F37D4D" w14:textId="77777777" w:rsidR="006A1585" w:rsidRPr="00AE595D" w:rsidRDefault="006A1585" w:rsidP="00AE595D">
      <w:pPr>
        <w:spacing w:after="120" w:line="240" w:lineRule="auto"/>
        <w:rPr>
          <w:rFonts w:eastAsia="Times New Roman" w:cs="Times New Roman"/>
          <w:b/>
          <w:bCs/>
          <w:color w:val="000000"/>
        </w:rPr>
      </w:pPr>
      <w:r w:rsidRPr="00AE595D">
        <w:rPr>
          <w:rFonts w:eastAsia="Times New Roman" w:cs="Times New Roman"/>
          <w:b/>
          <w:bCs/>
          <w:color w:val="000000"/>
        </w:rPr>
        <w:br w:type="page"/>
      </w:r>
    </w:p>
    <w:p w14:paraId="751A9237" w14:textId="77777777" w:rsidR="006A1585" w:rsidRDefault="006A1585">
      <w:pPr>
        <w:pStyle w:val="Heading2"/>
      </w:pPr>
      <w:bookmarkStart w:id="39" w:name="_Toc117000818"/>
      <w:r w:rsidRPr="00AE595D">
        <w:lastRenderedPageBreak/>
        <w:t xml:space="preserve">Postoperative </w:t>
      </w:r>
      <w:r w:rsidR="00F604B6" w:rsidRPr="00F604B6">
        <w:t>Early Mobilization</w:t>
      </w:r>
      <w:bookmarkEnd w:id="39"/>
      <w:r w:rsidR="00F604B6" w:rsidRPr="00F604B6">
        <w:t xml:space="preserve"> </w:t>
      </w:r>
    </w:p>
    <w:p w14:paraId="17683E5F" w14:textId="46B11407" w:rsidR="00F604B6" w:rsidRPr="00F604B6" w:rsidRDefault="00F604B6" w:rsidP="00F604B6">
      <w:pPr>
        <w:pStyle w:val="BodyText1"/>
      </w:pPr>
      <w:r w:rsidRPr="00F604B6">
        <w:t>Mobilization as soon as possible after surgery is recommended for all patients. Ideally, patients should be mobilized within 24 hours of surgery unless a significant contraindication exists. Provided the patient’s condition allows for it, aim to have patients walk 3</w:t>
      </w:r>
      <w:r w:rsidR="00350958">
        <w:rPr>
          <w:rFonts w:cstheme="minorHAnsi"/>
        </w:rPr>
        <w:t>–</w:t>
      </w:r>
      <w:r w:rsidRPr="00F604B6">
        <w:t>4 times a day from postoperative day</w:t>
      </w:r>
      <w:r w:rsidR="00350958">
        <w:t xml:space="preserve"> (POD)</w:t>
      </w:r>
      <w:r w:rsidRPr="00F604B6">
        <w:t xml:space="preserve"> 1.</w:t>
      </w:r>
    </w:p>
    <w:p w14:paraId="152D8CC5" w14:textId="03CCF5B4" w:rsidR="00F604B6" w:rsidRPr="00E60BDE" w:rsidRDefault="00F604B6" w:rsidP="00E60BDE">
      <w:pPr>
        <w:pStyle w:val="Bullet1"/>
      </w:pPr>
      <w:r w:rsidRPr="00E60BDE">
        <w:rPr>
          <w:i/>
        </w:rPr>
        <w:t xml:space="preserve">Considerations for </w:t>
      </w:r>
      <w:r w:rsidR="00EA34A5">
        <w:rPr>
          <w:i/>
        </w:rPr>
        <w:t>hip and knee replacement</w:t>
      </w:r>
      <w:r w:rsidRPr="00E60BDE">
        <w:rPr>
          <w:i/>
        </w:rPr>
        <w:t xml:space="preserve"> procedures:</w:t>
      </w:r>
      <w:r w:rsidRPr="00E60BDE">
        <w:t xml:space="preserve"> Mobilization with weight bearing as tolerated</w:t>
      </w:r>
      <w:r w:rsidR="0005244E">
        <w:t xml:space="preserve"> (WBAT)</w:t>
      </w:r>
      <w:r w:rsidRPr="00E60BDE">
        <w:t xml:space="preserve"> is recommended. There is no benefit to using continuous passive motion over early ambulation.</w:t>
      </w:r>
    </w:p>
    <w:p w14:paraId="0F7E1545" w14:textId="68FABE20" w:rsidR="00A952FA" w:rsidRPr="00F604B6" w:rsidRDefault="00F604B6" w:rsidP="00E60BDE">
      <w:pPr>
        <w:pStyle w:val="Bullet1"/>
      </w:pPr>
      <w:r w:rsidRPr="00E60BDE">
        <w:rPr>
          <w:i/>
        </w:rPr>
        <w:t>Considerations for hip fracture procedures:</w:t>
      </w:r>
      <w:r w:rsidRPr="00E60BDE">
        <w:t xml:space="preserve"> Mobilization with </w:t>
      </w:r>
      <w:r w:rsidR="0005244E">
        <w:t>WBAT</w:t>
      </w:r>
      <w:r w:rsidRPr="00E60BDE">
        <w:t xml:space="preserve"> is recommended. There is no benefit to using continuous passive motion over early ambulation.</w:t>
      </w:r>
    </w:p>
    <w:tbl>
      <w:tblPr>
        <w:tblStyle w:val="GridTable1Light1"/>
        <w:tblW w:w="5000" w:type="pct"/>
        <w:tblLook w:val="0600" w:firstRow="0" w:lastRow="0" w:firstColumn="0" w:lastColumn="0" w:noHBand="1" w:noVBand="1"/>
      </w:tblPr>
      <w:tblGrid>
        <w:gridCol w:w="1842"/>
        <w:gridCol w:w="2068"/>
        <w:gridCol w:w="4841"/>
        <w:gridCol w:w="2943"/>
        <w:gridCol w:w="6329"/>
        <w:gridCol w:w="5007"/>
      </w:tblGrid>
      <w:tr w:rsidR="004B3D41" w:rsidRPr="00F604B6" w14:paraId="36756871" w14:textId="77777777" w:rsidTr="00F746A8">
        <w:trPr>
          <w:cantSplit/>
          <w:trHeight w:val="973"/>
          <w:tblHeader/>
        </w:trPr>
        <w:tc>
          <w:tcPr>
            <w:tcW w:w="400" w:type="pct"/>
            <w:hideMark/>
          </w:tcPr>
          <w:p w14:paraId="7302B847" w14:textId="765CB341" w:rsidR="004B3D41" w:rsidRPr="00F604B6" w:rsidRDefault="004B3D41" w:rsidP="00F604B6">
            <w:pPr>
              <w:pStyle w:val="TableParagraph"/>
              <w:rPr>
                <w:rStyle w:val="Strong"/>
              </w:rPr>
            </w:pPr>
            <w:r w:rsidRPr="00F604B6">
              <w:rPr>
                <w:rStyle w:val="Strong"/>
              </w:rPr>
              <w:t xml:space="preserve">Pathway </w:t>
            </w:r>
          </w:p>
        </w:tc>
        <w:tc>
          <w:tcPr>
            <w:tcW w:w="449" w:type="pct"/>
            <w:hideMark/>
          </w:tcPr>
          <w:p w14:paraId="4A646F2F" w14:textId="77777777" w:rsidR="004B3D41" w:rsidRPr="00F604B6" w:rsidRDefault="004B3D41" w:rsidP="00F604B6">
            <w:pPr>
              <w:pStyle w:val="TableParagraph"/>
              <w:rPr>
                <w:rStyle w:val="Strong"/>
              </w:rPr>
            </w:pPr>
            <w:r w:rsidRPr="00F604B6">
              <w:rPr>
                <w:rStyle w:val="Strong"/>
              </w:rPr>
              <w:t>Component</w:t>
            </w:r>
          </w:p>
        </w:tc>
        <w:tc>
          <w:tcPr>
            <w:tcW w:w="1051" w:type="pct"/>
            <w:hideMark/>
          </w:tcPr>
          <w:p w14:paraId="0A0A2D6D" w14:textId="125A2404" w:rsidR="00D0345E" w:rsidRDefault="004B3D41" w:rsidP="00F604B6">
            <w:pPr>
              <w:pStyle w:val="TableParagraph"/>
              <w:rPr>
                <w:rStyle w:val="Strong"/>
              </w:rPr>
            </w:pPr>
            <w:r w:rsidRPr="00F604B6">
              <w:rPr>
                <w:rStyle w:val="Strong"/>
              </w:rPr>
              <w:t xml:space="preserve">Example Processes </w:t>
            </w:r>
            <w:r w:rsidR="00350958">
              <w:rPr>
                <w:rStyle w:val="Strong"/>
              </w:rPr>
              <w:t>T</w:t>
            </w:r>
            <w:r w:rsidRPr="00F604B6">
              <w:rPr>
                <w:rStyle w:val="Strong"/>
              </w:rPr>
              <w:t>o Consider</w:t>
            </w:r>
          </w:p>
          <w:p w14:paraId="437D6FC9" w14:textId="77777777" w:rsidR="004B3D41" w:rsidRPr="00F604B6" w:rsidRDefault="004B3D41" w:rsidP="00F604B6">
            <w:pPr>
              <w:pStyle w:val="TableParagraph"/>
              <w:rPr>
                <w:rStyle w:val="Strong"/>
              </w:rPr>
            </w:pPr>
            <w:r w:rsidRPr="00D0345E">
              <w:rPr>
                <w:rStyle w:val="Strong"/>
                <w:b w:val="0"/>
                <w:i/>
              </w:rPr>
              <w:t>As a team, go through each component and discuss what approach best fits your hospital. It may be an option other than what is listed below.</w:t>
            </w:r>
          </w:p>
        </w:tc>
        <w:tc>
          <w:tcPr>
            <w:tcW w:w="639" w:type="pct"/>
            <w:hideMark/>
          </w:tcPr>
          <w:p w14:paraId="3E364CE8" w14:textId="77777777" w:rsidR="004B3D41" w:rsidRPr="00F604B6" w:rsidRDefault="004B3D41" w:rsidP="00F604B6">
            <w:pPr>
              <w:pStyle w:val="TableParagraph"/>
              <w:rPr>
                <w:rStyle w:val="Strong"/>
              </w:rPr>
            </w:pPr>
            <w:r w:rsidRPr="00F604B6">
              <w:rPr>
                <w:rStyle w:val="Strong"/>
              </w:rPr>
              <w:t>Team Decisions/Notes</w:t>
            </w:r>
          </w:p>
          <w:p w14:paraId="443146C9" w14:textId="77777777" w:rsidR="004B3D41" w:rsidRPr="00D0345E" w:rsidRDefault="004B3D41" w:rsidP="00F604B6">
            <w:pPr>
              <w:pStyle w:val="TableParagraph"/>
              <w:rPr>
                <w:rStyle w:val="Strong"/>
                <w:b w:val="0"/>
                <w:i/>
              </w:rPr>
            </w:pPr>
            <w:r w:rsidRPr="00D0345E">
              <w:rPr>
                <w:rStyle w:val="Strong"/>
                <w:b w:val="0"/>
                <w:i/>
              </w:rPr>
              <w:t>As a team, note exceptions and contraindications to the treatment or medications.</w:t>
            </w:r>
          </w:p>
        </w:tc>
        <w:tc>
          <w:tcPr>
            <w:tcW w:w="1374" w:type="pct"/>
            <w:hideMark/>
          </w:tcPr>
          <w:p w14:paraId="31755314" w14:textId="3BA7051D" w:rsidR="004B3D41" w:rsidRPr="00F604B6" w:rsidRDefault="00AA140E" w:rsidP="00F604B6">
            <w:pPr>
              <w:pStyle w:val="TableParagraph"/>
              <w:rPr>
                <w:rStyle w:val="Strong"/>
              </w:rPr>
            </w:pPr>
            <w:r>
              <w:rPr>
                <w:rStyle w:val="Strong"/>
              </w:rPr>
              <w:t xml:space="preserve">Other Available Resources </w:t>
            </w:r>
            <w:r w:rsidR="00350958">
              <w:rPr>
                <w:rStyle w:val="Strong"/>
              </w:rPr>
              <w:t>and</w:t>
            </w:r>
            <w:r>
              <w:rPr>
                <w:rStyle w:val="Strong"/>
              </w:rPr>
              <w:t xml:space="preserve"> Tips </w:t>
            </w:r>
            <w:r w:rsidR="00350958">
              <w:rPr>
                <w:rStyle w:val="Strong"/>
              </w:rPr>
              <w:t>T</w:t>
            </w:r>
            <w:r>
              <w:rPr>
                <w:rStyle w:val="Strong"/>
              </w:rPr>
              <w:t>o Consider</w:t>
            </w:r>
          </w:p>
        </w:tc>
        <w:tc>
          <w:tcPr>
            <w:tcW w:w="1087" w:type="pct"/>
            <w:hideMark/>
          </w:tcPr>
          <w:p w14:paraId="7D00F9BB" w14:textId="77777777" w:rsidR="0019570D" w:rsidRPr="009F40B9" w:rsidRDefault="0019570D" w:rsidP="0019570D">
            <w:pPr>
              <w:pStyle w:val="TableParagraph"/>
              <w:rPr>
                <w:rStyle w:val="Strong"/>
              </w:rPr>
            </w:pPr>
            <w:r w:rsidRPr="009F40B9">
              <w:rPr>
                <w:rStyle w:val="Strong"/>
              </w:rPr>
              <w:t>ISCR Measures</w:t>
            </w:r>
          </w:p>
          <w:p w14:paraId="2979887A" w14:textId="77777777" w:rsidR="004B3D41" w:rsidRPr="00F604B6"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5956DE" w:rsidRPr="00AE595D" w14:paraId="2A53614B" w14:textId="77777777" w:rsidTr="00F746A8">
        <w:trPr>
          <w:cantSplit/>
          <w:trHeight w:val="334"/>
        </w:trPr>
        <w:tc>
          <w:tcPr>
            <w:tcW w:w="400" w:type="pct"/>
            <w:hideMark/>
          </w:tcPr>
          <w:p w14:paraId="513492C3" w14:textId="77777777" w:rsidR="005956DE" w:rsidRPr="00881220" w:rsidRDefault="0031170A" w:rsidP="00F604B6">
            <w:pPr>
              <w:pStyle w:val="TableParagraph"/>
              <w:rPr>
                <w:b/>
              </w:rPr>
            </w:pPr>
            <w:r w:rsidRPr="00881220">
              <w:rPr>
                <w:b/>
              </w:rPr>
              <w:t>All ISCR Pathways</w:t>
            </w:r>
          </w:p>
        </w:tc>
        <w:tc>
          <w:tcPr>
            <w:tcW w:w="449" w:type="pct"/>
          </w:tcPr>
          <w:p w14:paraId="68EF2944" w14:textId="77777777" w:rsidR="005956DE" w:rsidRPr="00881220" w:rsidRDefault="005956DE" w:rsidP="00F604B6">
            <w:pPr>
              <w:pStyle w:val="TableParagraph"/>
              <w:rPr>
                <w:b/>
              </w:rPr>
            </w:pPr>
            <w:r w:rsidRPr="00881220">
              <w:rPr>
                <w:b/>
              </w:rPr>
              <w:t>Early Mobilization</w:t>
            </w:r>
          </w:p>
        </w:tc>
        <w:tc>
          <w:tcPr>
            <w:tcW w:w="1051" w:type="pct"/>
          </w:tcPr>
          <w:p w14:paraId="3A0EFB28" w14:textId="77777777" w:rsidR="005956DE" w:rsidRPr="00881220" w:rsidRDefault="005956DE" w:rsidP="00526834">
            <w:pPr>
              <w:pStyle w:val="TableParagraph"/>
              <w:spacing w:after="120" w:line="240" w:lineRule="auto"/>
              <w:rPr>
                <w:rFonts w:eastAsia="Times New Roman" w:cs="Times New Roman"/>
                <w:b/>
                <w:color w:val="000000"/>
              </w:rPr>
            </w:pPr>
            <w:r w:rsidRPr="00881220">
              <w:rPr>
                <w:rFonts w:eastAsia="Times New Roman" w:cs="Times New Roman"/>
                <w:b/>
                <w:color w:val="000000"/>
              </w:rPr>
              <w:t xml:space="preserve">Choose your approach: </w:t>
            </w:r>
          </w:p>
          <w:p w14:paraId="6BC6051F" w14:textId="7816FEAF" w:rsidR="005956DE" w:rsidRPr="00AE595D" w:rsidRDefault="005956DE" w:rsidP="00F604B6">
            <w:pPr>
              <w:pStyle w:val="Bullet1"/>
            </w:pPr>
            <w:r w:rsidRPr="00AE595D">
              <w:t>O</w:t>
            </w:r>
            <w:r w:rsidR="002D7076">
              <w:t>ut of bed</w:t>
            </w:r>
            <w:r w:rsidRPr="00AE595D">
              <w:t xml:space="preserve"> to chair on POD 0 </w:t>
            </w:r>
          </w:p>
          <w:p w14:paraId="26BF5D11" w14:textId="77777777" w:rsidR="005956DE" w:rsidRPr="00AE595D" w:rsidRDefault="005956DE" w:rsidP="00F604B6">
            <w:pPr>
              <w:pStyle w:val="Bullet1"/>
            </w:pPr>
            <w:r w:rsidRPr="00AE595D">
              <w:t xml:space="preserve">Ambulate on POD 0 </w:t>
            </w:r>
          </w:p>
          <w:p w14:paraId="166210BF" w14:textId="77777777" w:rsidR="005956DE" w:rsidRPr="00AE595D" w:rsidRDefault="005956DE" w:rsidP="00F604B6">
            <w:pPr>
              <w:pStyle w:val="Bullet1"/>
            </w:pPr>
            <w:r w:rsidRPr="00AE595D">
              <w:t>Ambulate on POD 1</w:t>
            </w:r>
          </w:p>
          <w:p w14:paraId="4B29325F" w14:textId="021EBCFD" w:rsidR="005956DE" w:rsidRPr="001B6B20" w:rsidRDefault="005956DE" w:rsidP="00F604B6">
            <w:pPr>
              <w:pStyle w:val="TableParagraph"/>
              <w:rPr>
                <w:rFonts w:eastAsia="Times New Roman" w:cs="Times New Roman"/>
                <w:i/>
                <w:color w:val="000000"/>
              </w:rPr>
            </w:pPr>
          </w:p>
        </w:tc>
        <w:tc>
          <w:tcPr>
            <w:tcW w:w="639" w:type="pct"/>
          </w:tcPr>
          <w:p w14:paraId="067E4F31" w14:textId="7982E08F" w:rsidR="005956DE" w:rsidRPr="00AE595D" w:rsidRDefault="00C2156C" w:rsidP="00F604B6">
            <w:pPr>
              <w:pStyle w:val="TableParagraph"/>
              <w:rPr>
                <w:rFonts w:eastAsia="Times New Roman" w:cs="Times New Roman"/>
                <w:color w:val="000000"/>
              </w:rPr>
            </w:pPr>
            <w:r w:rsidRPr="007C7841">
              <w:rPr>
                <w:rFonts w:eastAsia="Times New Roman" w:cs="Times New Roman"/>
                <w:i/>
                <w:color w:val="000000"/>
              </w:rPr>
              <w:t xml:space="preserve">Enter </w:t>
            </w:r>
            <w:r w:rsidR="00350958">
              <w:rPr>
                <w:rFonts w:eastAsia="Times New Roman" w:cs="Times New Roman"/>
                <w:i/>
                <w:color w:val="000000"/>
              </w:rPr>
              <w:t xml:space="preserve">team decisions/notes </w:t>
            </w:r>
            <w:r w:rsidRPr="007C7841">
              <w:rPr>
                <w:rFonts w:eastAsia="Times New Roman" w:cs="Times New Roman"/>
                <w:i/>
                <w:color w:val="000000"/>
              </w:rPr>
              <w:t>here</w:t>
            </w:r>
          </w:p>
        </w:tc>
        <w:tc>
          <w:tcPr>
            <w:tcW w:w="1374" w:type="pct"/>
          </w:tcPr>
          <w:p w14:paraId="36B0B4C3" w14:textId="7044DDB2" w:rsidR="005956DE" w:rsidRPr="00AE595D" w:rsidRDefault="003023A5" w:rsidP="00F604B6">
            <w:pPr>
              <w:pStyle w:val="TableParagraph"/>
              <w:rPr>
                <w:color w:val="000000"/>
              </w:rPr>
            </w:pPr>
            <w:r>
              <w:rPr>
                <w:b/>
                <w:color w:val="000000"/>
              </w:rPr>
              <w:t>Tip</w:t>
            </w:r>
            <w:r w:rsidR="005956DE" w:rsidRPr="00D0345E">
              <w:rPr>
                <w:b/>
                <w:color w:val="000000"/>
              </w:rPr>
              <w:t>:</w:t>
            </w:r>
            <w:r w:rsidR="005956DE" w:rsidRPr="00AE595D">
              <w:rPr>
                <w:color w:val="000000"/>
              </w:rPr>
              <w:t xml:space="preserve"> Partner with physical therapy and nursing to design an early mobility strategy</w:t>
            </w:r>
            <w:r w:rsidR="008A4CA8">
              <w:rPr>
                <w:color w:val="000000"/>
              </w:rPr>
              <w:t>.</w:t>
            </w:r>
          </w:p>
          <w:p w14:paraId="34136BE4" w14:textId="393272BD" w:rsidR="005956DE" w:rsidRPr="00AE595D" w:rsidRDefault="003023A5" w:rsidP="00F604B6">
            <w:pPr>
              <w:pStyle w:val="TableParagraph"/>
              <w:rPr>
                <w:rFonts w:eastAsia="Times New Roman" w:cs="Times New Roman"/>
                <w:color w:val="000000"/>
              </w:rPr>
            </w:pPr>
            <w:r>
              <w:rPr>
                <w:rFonts w:eastAsia="Times New Roman" w:cs="Times New Roman"/>
                <w:b/>
                <w:color w:val="000000"/>
              </w:rPr>
              <w:t>Tip</w:t>
            </w:r>
            <w:r w:rsidR="005956DE" w:rsidRPr="00D0345E">
              <w:rPr>
                <w:rFonts w:eastAsia="Times New Roman" w:cs="Times New Roman"/>
                <w:b/>
                <w:color w:val="000000"/>
              </w:rPr>
              <w:t>:</w:t>
            </w:r>
            <w:r w:rsidR="005956DE" w:rsidRPr="00AE595D">
              <w:rPr>
                <w:rFonts w:eastAsia="Times New Roman" w:cs="Times New Roman"/>
                <w:color w:val="000000"/>
              </w:rPr>
              <w:t xml:space="preserve"> Engage patients with checklist and teach nurses that patients use call bell less when </w:t>
            </w:r>
            <w:r w:rsidR="0030446C" w:rsidRPr="00AE595D">
              <w:rPr>
                <w:rFonts w:eastAsia="Times New Roman" w:cs="Times New Roman"/>
                <w:color w:val="000000"/>
              </w:rPr>
              <w:t>patients</w:t>
            </w:r>
            <w:r w:rsidR="005956DE" w:rsidRPr="00AE595D">
              <w:rPr>
                <w:rFonts w:eastAsia="Times New Roman" w:cs="Times New Roman"/>
                <w:color w:val="000000"/>
              </w:rPr>
              <w:t xml:space="preserve"> start to ambulate</w:t>
            </w:r>
            <w:r w:rsidR="008A4CA8">
              <w:rPr>
                <w:rFonts w:eastAsia="Times New Roman" w:cs="Times New Roman"/>
                <w:color w:val="000000"/>
              </w:rPr>
              <w:t>.</w:t>
            </w:r>
          </w:p>
          <w:p w14:paraId="681ED581" w14:textId="25357AFC" w:rsidR="005956DE" w:rsidRDefault="003023A5" w:rsidP="00F604B6">
            <w:pPr>
              <w:pStyle w:val="TableParagraph"/>
              <w:rPr>
                <w:rFonts w:eastAsia="Times New Roman" w:cs="Times New Roman"/>
                <w:color w:val="000000"/>
              </w:rPr>
            </w:pPr>
            <w:r>
              <w:rPr>
                <w:rFonts w:eastAsia="Times New Roman" w:cs="Times New Roman"/>
                <w:b/>
                <w:color w:val="000000"/>
              </w:rPr>
              <w:t>Tip</w:t>
            </w:r>
            <w:r w:rsidR="005956DE" w:rsidRPr="00D0345E">
              <w:rPr>
                <w:rFonts w:eastAsia="Times New Roman" w:cs="Times New Roman"/>
                <w:b/>
                <w:color w:val="000000"/>
              </w:rPr>
              <w:t>:</w:t>
            </w:r>
            <w:r w:rsidR="005956DE" w:rsidRPr="00AE595D">
              <w:rPr>
                <w:rFonts w:eastAsia="Times New Roman" w:cs="Times New Roman"/>
                <w:color w:val="000000"/>
              </w:rPr>
              <w:t xml:space="preserve"> Consider adding a prompt to your order set, such as "Consider increasing ambulation each day</w:t>
            </w:r>
            <w:r w:rsidR="00350958">
              <w:rPr>
                <w:rFonts w:eastAsia="Times New Roman" w:cs="Times New Roman"/>
                <w:color w:val="000000"/>
              </w:rPr>
              <w:t>.</w:t>
            </w:r>
            <w:r w:rsidR="005956DE" w:rsidRPr="00AE595D">
              <w:rPr>
                <w:rFonts w:eastAsia="Times New Roman" w:cs="Times New Roman"/>
                <w:color w:val="000000"/>
              </w:rPr>
              <w:t>"</w:t>
            </w:r>
          </w:p>
          <w:p w14:paraId="01F1A13D" w14:textId="66E7249A" w:rsidR="00AA7106" w:rsidRPr="00AE595D" w:rsidRDefault="00AA7106" w:rsidP="00F604B6">
            <w:pPr>
              <w:pStyle w:val="TableParagraph"/>
              <w:rPr>
                <w:rFonts w:eastAsia="Times New Roman" w:cs="Times New Roman"/>
                <w:color w:val="000000"/>
              </w:rPr>
            </w:pPr>
          </w:p>
        </w:tc>
        <w:tc>
          <w:tcPr>
            <w:tcW w:w="1087" w:type="pct"/>
          </w:tcPr>
          <w:p w14:paraId="2DC35FCD" w14:textId="3AD9E222" w:rsidR="005956DE" w:rsidRPr="00AE595D" w:rsidRDefault="005956DE" w:rsidP="00F604B6">
            <w:pPr>
              <w:pStyle w:val="TableParagraph"/>
              <w:rPr>
                <w:rFonts w:eastAsia="Times New Roman" w:cs="Times New Roman"/>
                <w:color w:val="000000"/>
              </w:rPr>
            </w:pPr>
            <w:r w:rsidRPr="00AE595D">
              <w:rPr>
                <w:rFonts w:eastAsia="Times New Roman" w:cs="Times New Roman"/>
                <w:color w:val="000000"/>
              </w:rPr>
              <w:t xml:space="preserve">First </w:t>
            </w:r>
            <w:r w:rsidR="00BF5037" w:rsidRPr="00AE595D">
              <w:rPr>
                <w:rFonts w:eastAsia="Times New Roman" w:cs="Times New Roman"/>
                <w:color w:val="000000"/>
              </w:rPr>
              <w:t>postop</w:t>
            </w:r>
            <w:r w:rsidR="00350958">
              <w:rPr>
                <w:rFonts w:eastAsia="Times New Roman" w:cs="Times New Roman"/>
                <w:color w:val="000000"/>
              </w:rPr>
              <w:t>erative</w:t>
            </w:r>
            <w:r w:rsidR="00BF5037" w:rsidRPr="00AE595D">
              <w:rPr>
                <w:rFonts w:eastAsia="Times New Roman" w:cs="Times New Roman"/>
                <w:color w:val="000000"/>
              </w:rPr>
              <w:t xml:space="preserve"> mobilization</w:t>
            </w:r>
          </w:p>
          <w:p w14:paraId="3B3F0F9F" w14:textId="1C438F67" w:rsidR="005956DE" w:rsidRPr="00AE595D" w:rsidRDefault="00AA7106" w:rsidP="00F604B6">
            <w:pPr>
              <w:pStyle w:val="TableParagraph"/>
              <w:rPr>
                <w:rFonts w:eastAsia="Times New Roman" w:cs="Times New Roman"/>
                <w:color w:val="000000"/>
              </w:rPr>
            </w:pPr>
            <w:r w:rsidRPr="00AA7106">
              <w:rPr>
                <w:rFonts w:eastAsia="Times New Roman" w:cs="Times New Roman"/>
                <w:color w:val="000000"/>
              </w:rPr>
              <w:t>WBAT on POD 1</w:t>
            </w:r>
          </w:p>
          <w:p w14:paraId="7D471090" w14:textId="77777777" w:rsidR="005956DE" w:rsidRPr="00AE595D" w:rsidRDefault="005956DE" w:rsidP="00F604B6">
            <w:pPr>
              <w:pStyle w:val="TableParagraph"/>
              <w:rPr>
                <w:rFonts w:cs="Times New Roman"/>
              </w:rPr>
            </w:pPr>
          </w:p>
        </w:tc>
      </w:tr>
    </w:tbl>
    <w:p w14:paraId="5BC8532F" w14:textId="53C50C7D" w:rsidR="00605B85" w:rsidRPr="00AE595D" w:rsidRDefault="00350958" w:rsidP="00AE595D">
      <w:pPr>
        <w:spacing w:after="120" w:line="240" w:lineRule="auto"/>
        <w:rPr>
          <w:rFonts w:eastAsia="Times New Roman" w:cs="Times New Roman"/>
          <w:b/>
          <w:bCs/>
          <w:color w:val="000000"/>
        </w:rPr>
      </w:pPr>
      <w:r w:rsidRPr="00AE595D">
        <w:t>Abbreviations:</w:t>
      </w:r>
      <w:r>
        <w:t xml:space="preserve"> ISCR = Improving Surgical Care and Recovery</w:t>
      </w:r>
    </w:p>
    <w:p w14:paraId="2F2C2338" w14:textId="77777777" w:rsidR="00014742" w:rsidRDefault="00014742">
      <w:pPr>
        <w:spacing w:after="160" w:line="259" w:lineRule="auto"/>
        <w:ind w:left="360" w:hanging="360"/>
        <w:rPr>
          <w:b/>
          <w:bCs/>
          <w:sz w:val="28"/>
          <w:szCs w:val="28"/>
        </w:rPr>
      </w:pPr>
      <w:r>
        <w:br w:type="page"/>
      </w:r>
    </w:p>
    <w:p w14:paraId="4B4FD975" w14:textId="77777777" w:rsidR="004B3D41" w:rsidRDefault="00AA7106">
      <w:pPr>
        <w:pStyle w:val="Heading2"/>
      </w:pPr>
      <w:bookmarkStart w:id="40" w:name="_Toc117000819"/>
      <w:r w:rsidRPr="00AA7106">
        <w:lastRenderedPageBreak/>
        <w:t>Prevention of Postoperative Ileus and Constipation</w:t>
      </w:r>
      <w:bookmarkEnd w:id="40"/>
      <w:r w:rsidRPr="00AA7106">
        <w:t xml:space="preserve"> </w:t>
      </w:r>
    </w:p>
    <w:p w14:paraId="51564D99" w14:textId="77777777" w:rsidR="00AA7106" w:rsidRPr="00AE595D" w:rsidRDefault="00AA7106" w:rsidP="00AA7106">
      <w:pPr>
        <w:pStyle w:val="BodyText1"/>
        <w:rPr>
          <w:b/>
        </w:rPr>
      </w:pPr>
      <w:r w:rsidRPr="00AA7106">
        <w:t>Use of postoperative laxatives and chewing gum is recommended for prevention of postoperative ileus.</w:t>
      </w:r>
    </w:p>
    <w:tbl>
      <w:tblPr>
        <w:tblStyle w:val="GridTable1Light1"/>
        <w:tblW w:w="5000" w:type="pct"/>
        <w:tblLook w:val="0600" w:firstRow="0" w:lastRow="0" w:firstColumn="0" w:lastColumn="0" w:noHBand="1" w:noVBand="1"/>
      </w:tblPr>
      <w:tblGrid>
        <w:gridCol w:w="1801"/>
        <w:gridCol w:w="2137"/>
        <w:gridCol w:w="5886"/>
        <w:gridCol w:w="4187"/>
        <w:gridCol w:w="4012"/>
        <w:gridCol w:w="5007"/>
      </w:tblGrid>
      <w:tr w:rsidR="00F746A8" w:rsidRPr="00AA7106" w14:paraId="647A2299" w14:textId="77777777" w:rsidTr="00F746A8">
        <w:trPr>
          <w:cantSplit/>
          <w:trHeight w:val="973"/>
          <w:tblHeader/>
        </w:trPr>
        <w:tc>
          <w:tcPr>
            <w:tcW w:w="391" w:type="pct"/>
            <w:hideMark/>
          </w:tcPr>
          <w:p w14:paraId="76EBB63A" w14:textId="44A5FE34" w:rsidR="004B3D41" w:rsidRPr="00AA7106" w:rsidRDefault="004B3D41" w:rsidP="00AA7106">
            <w:pPr>
              <w:pStyle w:val="TableParagraph"/>
              <w:rPr>
                <w:rStyle w:val="Strong"/>
              </w:rPr>
            </w:pPr>
            <w:r w:rsidRPr="00AA7106">
              <w:rPr>
                <w:rStyle w:val="Strong"/>
              </w:rPr>
              <w:t xml:space="preserve">Pathway </w:t>
            </w:r>
          </w:p>
        </w:tc>
        <w:tc>
          <w:tcPr>
            <w:tcW w:w="464" w:type="pct"/>
            <w:hideMark/>
          </w:tcPr>
          <w:p w14:paraId="4BBAD27F" w14:textId="77777777" w:rsidR="004B3D41" w:rsidRPr="00AA7106" w:rsidRDefault="004B3D41" w:rsidP="00AA7106">
            <w:pPr>
              <w:pStyle w:val="TableParagraph"/>
              <w:rPr>
                <w:rStyle w:val="Strong"/>
              </w:rPr>
            </w:pPr>
            <w:r w:rsidRPr="00AA7106">
              <w:rPr>
                <w:rStyle w:val="Strong"/>
              </w:rPr>
              <w:t>Component</w:t>
            </w:r>
          </w:p>
        </w:tc>
        <w:tc>
          <w:tcPr>
            <w:tcW w:w="1278" w:type="pct"/>
            <w:hideMark/>
          </w:tcPr>
          <w:p w14:paraId="592A1CB0" w14:textId="66E129BF" w:rsidR="00D0345E" w:rsidRDefault="004B3D41" w:rsidP="00AA7106">
            <w:pPr>
              <w:pStyle w:val="TableParagraph"/>
              <w:rPr>
                <w:rStyle w:val="Strong"/>
              </w:rPr>
            </w:pPr>
            <w:r w:rsidRPr="00AA7106">
              <w:rPr>
                <w:rStyle w:val="Strong"/>
              </w:rPr>
              <w:t xml:space="preserve">Example Processes </w:t>
            </w:r>
            <w:r w:rsidR="00201D3E">
              <w:rPr>
                <w:rStyle w:val="Strong"/>
              </w:rPr>
              <w:t>T</w:t>
            </w:r>
            <w:r w:rsidRPr="00AA7106">
              <w:rPr>
                <w:rStyle w:val="Strong"/>
              </w:rPr>
              <w:t>o Consider</w:t>
            </w:r>
          </w:p>
          <w:p w14:paraId="3F9B81E0" w14:textId="77777777" w:rsidR="004B3D41" w:rsidRPr="00D0345E" w:rsidRDefault="004B3D41" w:rsidP="00AA7106">
            <w:pPr>
              <w:pStyle w:val="TableParagraph"/>
              <w:rPr>
                <w:rStyle w:val="Strong"/>
                <w:b w:val="0"/>
                <w:i/>
              </w:rPr>
            </w:pPr>
            <w:r w:rsidRPr="00D0345E">
              <w:rPr>
                <w:rStyle w:val="Strong"/>
                <w:b w:val="0"/>
                <w:i/>
              </w:rPr>
              <w:t>As a team, go through each component and discuss what approach best fits your hospital. It may be an option other than what is listed below.</w:t>
            </w:r>
          </w:p>
        </w:tc>
        <w:tc>
          <w:tcPr>
            <w:tcW w:w="909" w:type="pct"/>
            <w:hideMark/>
          </w:tcPr>
          <w:p w14:paraId="4BD24478" w14:textId="77777777" w:rsidR="004B3D41" w:rsidRPr="00AA7106" w:rsidRDefault="004B3D41" w:rsidP="00AA7106">
            <w:pPr>
              <w:pStyle w:val="TableParagraph"/>
              <w:rPr>
                <w:rStyle w:val="Strong"/>
              </w:rPr>
            </w:pPr>
            <w:r w:rsidRPr="00AA7106">
              <w:rPr>
                <w:rStyle w:val="Strong"/>
              </w:rPr>
              <w:t>Team Decisions/Notes</w:t>
            </w:r>
          </w:p>
          <w:p w14:paraId="5C997E1E" w14:textId="77777777" w:rsidR="004B3D41" w:rsidRPr="00D0345E" w:rsidRDefault="004B3D41" w:rsidP="00AA7106">
            <w:pPr>
              <w:pStyle w:val="TableParagraph"/>
              <w:rPr>
                <w:rStyle w:val="Strong"/>
                <w:b w:val="0"/>
                <w:i/>
              </w:rPr>
            </w:pPr>
            <w:r w:rsidRPr="00D0345E">
              <w:rPr>
                <w:rStyle w:val="Strong"/>
                <w:b w:val="0"/>
                <w:i/>
              </w:rPr>
              <w:t>As a team, note exceptions and contraindications to the treatment or medications.</w:t>
            </w:r>
          </w:p>
        </w:tc>
        <w:tc>
          <w:tcPr>
            <w:tcW w:w="871" w:type="pct"/>
            <w:hideMark/>
          </w:tcPr>
          <w:p w14:paraId="07882C87" w14:textId="3F776BB3" w:rsidR="004B3D41" w:rsidRPr="00AA7106" w:rsidRDefault="00AA140E" w:rsidP="00AA7106">
            <w:pPr>
              <w:pStyle w:val="TableParagraph"/>
              <w:rPr>
                <w:rStyle w:val="Strong"/>
              </w:rPr>
            </w:pPr>
            <w:r>
              <w:rPr>
                <w:rStyle w:val="Strong"/>
              </w:rPr>
              <w:t xml:space="preserve">Other Available Resources </w:t>
            </w:r>
            <w:r w:rsidR="00201D3E">
              <w:rPr>
                <w:rStyle w:val="Strong"/>
              </w:rPr>
              <w:t>and</w:t>
            </w:r>
            <w:r>
              <w:rPr>
                <w:rStyle w:val="Strong"/>
              </w:rPr>
              <w:t xml:space="preserve"> Tips </w:t>
            </w:r>
            <w:r w:rsidR="00201D3E">
              <w:rPr>
                <w:rStyle w:val="Strong"/>
              </w:rPr>
              <w:t>T</w:t>
            </w:r>
            <w:r>
              <w:rPr>
                <w:rStyle w:val="Strong"/>
              </w:rPr>
              <w:t>o Consider</w:t>
            </w:r>
          </w:p>
        </w:tc>
        <w:tc>
          <w:tcPr>
            <w:tcW w:w="1087" w:type="pct"/>
            <w:hideMark/>
          </w:tcPr>
          <w:p w14:paraId="0E20F28A" w14:textId="77777777" w:rsidR="0019570D" w:rsidRPr="009F40B9" w:rsidRDefault="0019570D" w:rsidP="0019570D">
            <w:pPr>
              <w:pStyle w:val="TableParagraph"/>
              <w:rPr>
                <w:rStyle w:val="Strong"/>
              </w:rPr>
            </w:pPr>
            <w:r w:rsidRPr="009F40B9">
              <w:rPr>
                <w:rStyle w:val="Strong"/>
              </w:rPr>
              <w:t>ISCR Measures</w:t>
            </w:r>
          </w:p>
          <w:p w14:paraId="21055427" w14:textId="77777777" w:rsidR="004B3D41" w:rsidRPr="00AA7106"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F746A8" w:rsidRPr="00AE595D" w14:paraId="4C120485" w14:textId="77777777" w:rsidTr="00F746A8">
        <w:trPr>
          <w:cantSplit/>
          <w:trHeight w:val="334"/>
        </w:trPr>
        <w:tc>
          <w:tcPr>
            <w:tcW w:w="391" w:type="pct"/>
            <w:hideMark/>
          </w:tcPr>
          <w:p w14:paraId="3C8E3DE5" w14:textId="77777777" w:rsidR="005956DE" w:rsidRPr="00D0345E" w:rsidRDefault="005956DE" w:rsidP="00AA7106">
            <w:pPr>
              <w:pStyle w:val="TableParagraph"/>
              <w:rPr>
                <w:b/>
              </w:rPr>
            </w:pPr>
            <w:r w:rsidRPr="00D0345E">
              <w:rPr>
                <w:b/>
              </w:rPr>
              <w:t xml:space="preserve">Colorectal </w:t>
            </w:r>
            <w:r w:rsidR="0031170A" w:rsidRPr="00D0345E">
              <w:rPr>
                <w:b/>
              </w:rPr>
              <w:t xml:space="preserve">and Gynecologic </w:t>
            </w:r>
            <w:r w:rsidRPr="00D0345E">
              <w:rPr>
                <w:b/>
              </w:rPr>
              <w:t>Pathway</w:t>
            </w:r>
            <w:r w:rsidR="0031170A" w:rsidRPr="00D0345E">
              <w:rPr>
                <w:b/>
              </w:rPr>
              <w:t>s</w:t>
            </w:r>
            <w:r w:rsidRPr="00D0345E">
              <w:rPr>
                <w:b/>
              </w:rPr>
              <w:t xml:space="preserve"> </w:t>
            </w:r>
          </w:p>
        </w:tc>
        <w:tc>
          <w:tcPr>
            <w:tcW w:w="464" w:type="pct"/>
          </w:tcPr>
          <w:p w14:paraId="37E94CC3" w14:textId="77777777" w:rsidR="005956DE" w:rsidRPr="00D0345E" w:rsidRDefault="005956DE" w:rsidP="00AA7106">
            <w:pPr>
              <w:pStyle w:val="TableParagraph"/>
              <w:rPr>
                <w:b/>
              </w:rPr>
            </w:pPr>
            <w:r w:rsidRPr="00D0345E">
              <w:rPr>
                <w:b/>
              </w:rPr>
              <w:t>Prevention of Postoperative Ileus and Constipation</w:t>
            </w:r>
          </w:p>
        </w:tc>
        <w:tc>
          <w:tcPr>
            <w:tcW w:w="1278" w:type="pct"/>
          </w:tcPr>
          <w:p w14:paraId="0C32B520" w14:textId="77777777" w:rsidR="005956DE" w:rsidRPr="00D0345E" w:rsidRDefault="005956DE" w:rsidP="00526834">
            <w:pPr>
              <w:pStyle w:val="TableParagraph"/>
              <w:spacing w:after="120" w:line="240" w:lineRule="auto"/>
              <w:rPr>
                <w:rFonts w:eastAsia="Times New Roman" w:cs="Times New Roman"/>
                <w:b/>
                <w:color w:val="000000"/>
              </w:rPr>
            </w:pPr>
            <w:r w:rsidRPr="00D0345E">
              <w:rPr>
                <w:rFonts w:eastAsia="Times New Roman" w:cs="Times New Roman"/>
                <w:b/>
                <w:color w:val="000000"/>
              </w:rPr>
              <w:t>Recommended Approach:</w:t>
            </w:r>
          </w:p>
          <w:p w14:paraId="105B4FC4" w14:textId="636B96CE" w:rsidR="005956DE" w:rsidRDefault="005956DE" w:rsidP="00AA7106">
            <w:pPr>
              <w:pStyle w:val="Bullet1"/>
            </w:pPr>
            <w:r w:rsidRPr="00AE595D">
              <w:t>Chewing gum</w:t>
            </w:r>
            <w:r w:rsidR="00201D3E">
              <w:t>:</w:t>
            </w:r>
            <w:r w:rsidRPr="00AE595D">
              <w:t xml:space="preserve"> 3 times daily</w:t>
            </w:r>
          </w:p>
          <w:p w14:paraId="1A0FBC17" w14:textId="77777777" w:rsidR="0031170A" w:rsidRPr="00AE595D" w:rsidRDefault="0031170A" w:rsidP="0031170A">
            <w:pPr>
              <w:pStyle w:val="Bullet1"/>
            </w:pPr>
            <w:r>
              <w:t>Consider l</w:t>
            </w:r>
            <w:r w:rsidRPr="0031170A">
              <w:t>axatives</w:t>
            </w:r>
            <w:r>
              <w:t xml:space="preserve"> as needed</w:t>
            </w:r>
            <w:r w:rsidRPr="0031170A">
              <w:t xml:space="preserve">: </w:t>
            </w:r>
            <w:r w:rsidR="00943A87">
              <w:t xml:space="preserve">e.g., </w:t>
            </w:r>
            <w:r w:rsidRPr="0031170A">
              <w:t>senna with docusate, docusate, magnesium oxide, magnesium hydroxide, bisacodyl</w:t>
            </w:r>
          </w:p>
        </w:tc>
        <w:tc>
          <w:tcPr>
            <w:tcW w:w="909" w:type="pct"/>
          </w:tcPr>
          <w:p w14:paraId="68AF866F" w14:textId="5A7DFA24" w:rsidR="005956DE" w:rsidRPr="00AE595D" w:rsidRDefault="00C2156C" w:rsidP="00AA7106">
            <w:pPr>
              <w:pStyle w:val="TableParagraph"/>
            </w:pPr>
            <w:r w:rsidRPr="007C7841">
              <w:rPr>
                <w:rFonts w:eastAsia="Times New Roman" w:cs="Times New Roman"/>
                <w:i/>
                <w:color w:val="000000"/>
              </w:rPr>
              <w:t xml:space="preserve">Enter </w:t>
            </w:r>
            <w:r w:rsidR="00201D3E">
              <w:rPr>
                <w:rFonts w:eastAsia="Times New Roman" w:cs="Times New Roman"/>
                <w:i/>
                <w:color w:val="000000"/>
              </w:rPr>
              <w:t xml:space="preserve">team decisions/notes </w:t>
            </w:r>
            <w:r w:rsidRPr="007C7841">
              <w:rPr>
                <w:rFonts w:eastAsia="Times New Roman" w:cs="Times New Roman"/>
                <w:i/>
                <w:color w:val="000000"/>
              </w:rPr>
              <w:t>here</w:t>
            </w:r>
          </w:p>
        </w:tc>
        <w:tc>
          <w:tcPr>
            <w:tcW w:w="871" w:type="pct"/>
          </w:tcPr>
          <w:p w14:paraId="30C5467D" w14:textId="5B89A9FA" w:rsidR="005956DE" w:rsidRPr="00AE595D" w:rsidRDefault="00CB6C14" w:rsidP="00AA7106">
            <w:pPr>
              <w:pStyle w:val="TableParagraph"/>
              <w:rPr>
                <w:color w:val="000000"/>
              </w:rPr>
            </w:pPr>
            <w:r w:rsidRPr="00CB6C14">
              <w:rPr>
                <w:i/>
                <w:color w:val="000000"/>
              </w:rPr>
              <w:t>Enter any additional resources and tips recommended by your ISCR team here.</w:t>
            </w:r>
          </w:p>
        </w:tc>
        <w:tc>
          <w:tcPr>
            <w:tcW w:w="1087" w:type="pct"/>
          </w:tcPr>
          <w:p w14:paraId="1B2DEE0C" w14:textId="31854271" w:rsidR="005956DE" w:rsidRPr="00AE595D" w:rsidRDefault="001F7C6C" w:rsidP="00AA7106">
            <w:pPr>
              <w:pStyle w:val="TableParagraph"/>
              <w:rPr>
                <w:color w:val="000000"/>
              </w:rPr>
            </w:pPr>
            <w:r w:rsidRPr="00AE595D">
              <w:rPr>
                <w:rFonts w:eastAsia="Times New Roman" w:cs="Times New Roman"/>
              </w:rPr>
              <w:t>Return of bowel function (e.g., resolution of postop</w:t>
            </w:r>
            <w:r w:rsidR="00201D3E">
              <w:rPr>
                <w:rFonts w:eastAsia="Times New Roman" w:cs="Times New Roman"/>
              </w:rPr>
              <w:t>erative</w:t>
            </w:r>
            <w:r w:rsidRPr="00AE595D">
              <w:rPr>
                <w:rFonts w:eastAsia="Times New Roman" w:cs="Times New Roman"/>
              </w:rPr>
              <w:t xml:space="preserve"> ileus)</w:t>
            </w:r>
          </w:p>
        </w:tc>
      </w:tr>
    </w:tbl>
    <w:p w14:paraId="6A444B10" w14:textId="2DF22500" w:rsidR="004B3D41" w:rsidRPr="00AE595D" w:rsidRDefault="00201D3E" w:rsidP="00AE595D">
      <w:pPr>
        <w:spacing w:after="120" w:line="240" w:lineRule="auto"/>
        <w:rPr>
          <w:b/>
        </w:rPr>
      </w:pPr>
      <w:r w:rsidRPr="00AE595D">
        <w:t>Abbreviations:</w:t>
      </w:r>
      <w:r>
        <w:t xml:space="preserve"> ISCR = Improving Surgical Care and Recovery</w:t>
      </w:r>
    </w:p>
    <w:p w14:paraId="5900A277" w14:textId="77777777" w:rsidR="006A1585" w:rsidRPr="00AE595D" w:rsidRDefault="006A1585" w:rsidP="00AE595D">
      <w:pPr>
        <w:spacing w:after="120" w:line="240" w:lineRule="auto"/>
        <w:rPr>
          <w:rFonts w:eastAsia="Times New Roman" w:cs="Times New Roman"/>
          <w:b/>
          <w:bCs/>
          <w:color w:val="000000"/>
        </w:rPr>
      </w:pPr>
      <w:r w:rsidRPr="00AE595D">
        <w:rPr>
          <w:rFonts w:eastAsia="Times New Roman" w:cs="Times New Roman"/>
          <w:b/>
          <w:bCs/>
          <w:color w:val="000000"/>
        </w:rPr>
        <w:br w:type="page"/>
      </w:r>
    </w:p>
    <w:p w14:paraId="0865A087" w14:textId="15F89E08" w:rsidR="006A1585" w:rsidRDefault="006A1585">
      <w:pPr>
        <w:pStyle w:val="Heading2"/>
      </w:pPr>
      <w:bookmarkStart w:id="41" w:name="_Toc117000820"/>
      <w:r w:rsidRPr="00AE595D">
        <w:lastRenderedPageBreak/>
        <w:t>Postoperative</w:t>
      </w:r>
      <w:r w:rsidR="00AA7106" w:rsidRPr="00AA7106">
        <w:t xml:space="preserve"> Indwelling</w:t>
      </w:r>
      <w:r w:rsidR="00D76F1B">
        <w:t xml:space="preserve"> </w:t>
      </w:r>
      <w:r w:rsidR="00AC6F08">
        <w:t>Urinary</w:t>
      </w:r>
      <w:r w:rsidR="00AA7106" w:rsidRPr="00AA7106">
        <w:t xml:space="preserve"> Catheter Avoidance</w:t>
      </w:r>
      <w:r w:rsidRPr="00AE595D">
        <w:t xml:space="preserve"> </w:t>
      </w:r>
      <w:r w:rsidR="00943A87">
        <w:t xml:space="preserve">or </w:t>
      </w:r>
      <w:r w:rsidR="00943A87" w:rsidRPr="00AA7106">
        <w:t xml:space="preserve">Early Removal </w:t>
      </w:r>
      <w:bookmarkEnd w:id="41"/>
    </w:p>
    <w:p w14:paraId="3DCC00BB" w14:textId="2F22B88B" w:rsidR="00AA7106" w:rsidRPr="00AA7106" w:rsidRDefault="00AA7106" w:rsidP="00AA7106">
      <w:pPr>
        <w:pStyle w:val="BodyText1"/>
      </w:pPr>
      <w:r w:rsidRPr="00AA7106">
        <w:t>Routine urinary bladder catheter removal by postoperative day</w:t>
      </w:r>
      <w:r w:rsidR="005177D6">
        <w:t xml:space="preserve"> (POD)</w:t>
      </w:r>
      <w:r w:rsidRPr="00AA7106">
        <w:t xml:space="preserve"> 1 is recommended in most situations.</w:t>
      </w:r>
    </w:p>
    <w:p w14:paraId="5644EDC8" w14:textId="5E0C248A" w:rsidR="00AA7106" w:rsidRPr="00AA7106" w:rsidRDefault="00AA7106" w:rsidP="00AA7106">
      <w:pPr>
        <w:pStyle w:val="Bullet1"/>
      </w:pPr>
      <w:r w:rsidRPr="00D0345E">
        <w:rPr>
          <w:i/>
        </w:rPr>
        <w:t>Considerations for colorectal procedures:</w:t>
      </w:r>
      <w:r w:rsidRPr="00AA7106">
        <w:t xml:space="preserve"> For patients undergoing low rectal surgery, routine bladder drainage is at the discretion of the surgeon, and can be considered through </w:t>
      </w:r>
      <w:r w:rsidR="005177D6">
        <w:t>PODs</w:t>
      </w:r>
      <w:r w:rsidRPr="00AA7106">
        <w:t xml:space="preserve"> 3</w:t>
      </w:r>
      <w:r w:rsidR="005177D6">
        <w:rPr>
          <w:rFonts w:cstheme="minorHAnsi"/>
        </w:rPr>
        <w:t>–</w:t>
      </w:r>
      <w:r w:rsidRPr="00AA7106">
        <w:t>5 based on the higher risk of urinary retention associated with these procedures</w:t>
      </w:r>
    </w:p>
    <w:p w14:paraId="2D63086B" w14:textId="12E2A4D1" w:rsidR="00AA7106" w:rsidRPr="00AA7106" w:rsidRDefault="00AA7106" w:rsidP="00AA7106">
      <w:pPr>
        <w:pStyle w:val="Bullet1"/>
      </w:pPr>
      <w:r w:rsidRPr="00D0345E">
        <w:rPr>
          <w:i/>
        </w:rPr>
        <w:t xml:space="preserve">Considerations for </w:t>
      </w:r>
      <w:r w:rsidR="00D7245F">
        <w:rPr>
          <w:i/>
        </w:rPr>
        <w:t>gynecologic</w:t>
      </w:r>
      <w:r w:rsidRPr="00D0345E">
        <w:rPr>
          <w:i/>
        </w:rPr>
        <w:t xml:space="preserve"> procedures:</w:t>
      </w:r>
      <w:r w:rsidRPr="00AA7106">
        <w:t xml:space="preserve"> Urinary bladder catheters should be removed immediately after minimally invasive gynecologic surgery or within 6 hours after uncomplicated abdominal hysterectomy. Urinary catheters should be removed on </w:t>
      </w:r>
      <w:r w:rsidR="005177D6">
        <w:t>POD</w:t>
      </w:r>
      <w:r w:rsidRPr="00AA7106">
        <w:t xml:space="preserve"> 1 after debulking surgery for gynecologic malignancies in the absence of specific indications for prolonged urinary catheter use (i.e., partial bladder resection).</w:t>
      </w:r>
    </w:p>
    <w:p w14:paraId="4B46C6E3" w14:textId="0723A77B" w:rsidR="00AA7106" w:rsidRPr="00AE595D" w:rsidRDefault="00AA7106" w:rsidP="00AA7106">
      <w:pPr>
        <w:pStyle w:val="Bullet1"/>
      </w:pPr>
      <w:r w:rsidRPr="00D0345E">
        <w:rPr>
          <w:i/>
        </w:rPr>
        <w:t xml:space="preserve">Considerations for </w:t>
      </w:r>
      <w:r w:rsidR="005177D6">
        <w:rPr>
          <w:i/>
        </w:rPr>
        <w:t>emergency general surgery</w:t>
      </w:r>
      <w:r w:rsidR="00FD2CFF">
        <w:rPr>
          <w:i/>
        </w:rPr>
        <w:t xml:space="preserve"> (</w:t>
      </w:r>
      <w:r w:rsidRPr="00D0345E">
        <w:rPr>
          <w:i/>
        </w:rPr>
        <w:t>major abdominal procedures</w:t>
      </w:r>
      <w:r w:rsidR="00FD2CFF">
        <w:rPr>
          <w:i/>
        </w:rPr>
        <w:t>)</w:t>
      </w:r>
      <w:r w:rsidRPr="00D0345E">
        <w:rPr>
          <w:i/>
        </w:rPr>
        <w:t>:</w:t>
      </w:r>
      <w:r w:rsidRPr="00AA7106">
        <w:t xml:space="preserve"> </w:t>
      </w:r>
      <w:r w:rsidR="00AC6F08">
        <w:t>Indwelling urinary catheters</w:t>
      </w:r>
      <w:r w:rsidRPr="00AA7106">
        <w:t xml:space="preserve"> that are placed should be removed as soon as possible (in operating room if feasible) unless bladder drainage is needed for hemodynamic monitoring or procedure</w:t>
      </w:r>
      <w:r w:rsidR="005177D6">
        <w:t>-</w:t>
      </w:r>
      <w:r w:rsidRPr="00AA7106">
        <w:t>specific reasons.</w:t>
      </w:r>
    </w:p>
    <w:tbl>
      <w:tblPr>
        <w:tblStyle w:val="GridTable1Light1"/>
        <w:tblW w:w="5000" w:type="pct"/>
        <w:tblLook w:val="0600" w:firstRow="0" w:lastRow="0" w:firstColumn="0" w:lastColumn="0" w:noHBand="1" w:noVBand="1"/>
      </w:tblPr>
      <w:tblGrid>
        <w:gridCol w:w="1880"/>
        <w:gridCol w:w="1879"/>
        <w:gridCol w:w="5886"/>
        <w:gridCol w:w="3579"/>
        <w:gridCol w:w="4887"/>
        <w:gridCol w:w="4919"/>
      </w:tblGrid>
      <w:tr w:rsidR="004B3D41" w:rsidRPr="00AA7106" w14:paraId="254DB6B1" w14:textId="77777777" w:rsidTr="00F746A8">
        <w:trPr>
          <w:cantSplit/>
          <w:trHeight w:val="973"/>
          <w:tblHeader/>
        </w:trPr>
        <w:tc>
          <w:tcPr>
            <w:tcW w:w="408" w:type="pct"/>
            <w:hideMark/>
          </w:tcPr>
          <w:p w14:paraId="7548E062" w14:textId="63FF22DD" w:rsidR="004B3D41" w:rsidRPr="00AA7106" w:rsidRDefault="004B3D41" w:rsidP="00AA7106">
            <w:pPr>
              <w:pStyle w:val="TableParagraph"/>
              <w:rPr>
                <w:rStyle w:val="Strong"/>
              </w:rPr>
            </w:pPr>
            <w:r w:rsidRPr="00AA7106">
              <w:rPr>
                <w:rStyle w:val="Strong"/>
              </w:rPr>
              <w:t xml:space="preserve">Pathway </w:t>
            </w:r>
          </w:p>
        </w:tc>
        <w:tc>
          <w:tcPr>
            <w:tcW w:w="408" w:type="pct"/>
            <w:hideMark/>
          </w:tcPr>
          <w:p w14:paraId="07D4FB5A" w14:textId="77777777" w:rsidR="004B3D41" w:rsidRPr="00AA7106" w:rsidRDefault="004B3D41" w:rsidP="00AA7106">
            <w:pPr>
              <w:pStyle w:val="TableParagraph"/>
              <w:rPr>
                <w:rStyle w:val="Strong"/>
              </w:rPr>
            </w:pPr>
            <w:r w:rsidRPr="00AA7106">
              <w:rPr>
                <w:rStyle w:val="Strong"/>
              </w:rPr>
              <w:t>Component</w:t>
            </w:r>
          </w:p>
        </w:tc>
        <w:tc>
          <w:tcPr>
            <w:tcW w:w="1278" w:type="pct"/>
            <w:hideMark/>
          </w:tcPr>
          <w:p w14:paraId="10BB66F8" w14:textId="7DDCC763" w:rsidR="00D0345E" w:rsidRDefault="004B3D41" w:rsidP="00AA7106">
            <w:pPr>
              <w:pStyle w:val="TableParagraph"/>
              <w:rPr>
                <w:rStyle w:val="Strong"/>
              </w:rPr>
            </w:pPr>
            <w:r w:rsidRPr="00AA7106">
              <w:rPr>
                <w:rStyle w:val="Strong"/>
              </w:rPr>
              <w:t xml:space="preserve">Example Processes </w:t>
            </w:r>
            <w:r w:rsidR="005177D6">
              <w:rPr>
                <w:rStyle w:val="Strong"/>
              </w:rPr>
              <w:t>T</w:t>
            </w:r>
            <w:r w:rsidRPr="00AA7106">
              <w:rPr>
                <w:rStyle w:val="Strong"/>
              </w:rPr>
              <w:t>o Consider</w:t>
            </w:r>
          </w:p>
          <w:p w14:paraId="0069DF36" w14:textId="77777777" w:rsidR="004B3D41" w:rsidRPr="00D0345E" w:rsidRDefault="004B3D41" w:rsidP="00AA7106">
            <w:pPr>
              <w:pStyle w:val="TableParagraph"/>
              <w:rPr>
                <w:rStyle w:val="Strong"/>
                <w:b w:val="0"/>
                <w:i/>
              </w:rPr>
            </w:pPr>
            <w:r w:rsidRPr="00D0345E">
              <w:rPr>
                <w:rStyle w:val="Strong"/>
                <w:b w:val="0"/>
                <w:i/>
              </w:rPr>
              <w:t>As a team, go through each component and discuss what approach best fits your hospital. It may be an option other than what is listed below.</w:t>
            </w:r>
          </w:p>
        </w:tc>
        <w:tc>
          <w:tcPr>
            <w:tcW w:w="777" w:type="pct"/>
            <w:hideMark/>
          </w:tcPr>
          <w:p w14:paraId="78A4C70C" w14:textId="77777777" w:rsidR="004B3D41" w:rsidRPr="00AA7106" w:rsidRDefault="004B3D41" w:rsidP="00AA7106">
            <w:pPr>
              <w:pStyle w:val="TableParagraph"/>
              <w:rPr>
                <w:rStyle w:val="Strong"/>
              </w:rPr>
            </w:pPr>
            <w:r w:rsidRPr="00AA7106">
              <w:rPr>
                <w:rStyle w:val="Strong"/>
              </w:rPr>
              <w:t>Team Decisions/Notes</w:t>
            </w:r>
          </w:p>
          <w:p w14:paraId="64750C8C" w14:textId="77777777" w:rsidR="004B3D41" w:rsidRPr="00D0345E" w:rsidRDefault="004B3D41" w:rsidP="00AA7106">
            <w:pPr>
              <w:pStyle w:val="TableParagraph"/>
              <w:rPr>
                <w:rStyle w:val="Strong"/>
                <w:b w:val="0"/>
                <w:i/>
              </w:rPr>
            </w:pPr>
            <w:r w:rsidRPr="00D0345E">
              <w:rPr>
                <w:rStyle w:val="Strong"/>
                <w:b w:val="0"/>
                <w:i/>
              </w:rPr>
              <w:t>As a team, note exceptions and contraindications to the treatment or medications.</w:t>
            </w:r>
          </w:p>
        </w:tc>
        <w:tc>
          <w:tcPr>
            <w:tcW w:w="1061" w:type="pct"/>
            <w:hideMark/>
          </w:tcPr>
          <w:p w14:paraId="796F4261" w14:textId="5F120D8F" w:rsidR="004B3D41" w:rsidRPr="00AA7106" w:rsidRDefault="00AA140E" w:rsidP="00AA7106">
            <w:pPr>
              <w:pStyle w:val="TableParagraph"/>
              <w:rPr>
                <w:rStyle w:val="Strong"/>
              </w:rPr>
            </w:pPr>
            <w:r>
              <w:rPr>
                <w:rStyle w:val="Strong"/>
              </w:rPr>
              <w:t xml:space="preserve">Other Available Resources </w:t>
            </w:r>
            <w:r w:rsidR="005177D6">
              <w:rPr>
                <w:rStyle w:val="Strong"/>
              </w:rPr>
              <w:t>and</w:t>
            </w:r>
            <w:r>
              <w:rPr>
                <w:rStyle w:val="Strong"/>
              </w:rPr>
              <w:t xml:space="preserve"> Tips </w:t>
            </w:r>
            <w:r w:rsidR="005177D6">
              <w:rPr>
                <w:rStyle w:val="Strong"/>
              </w:rPr>
              <w:t>T</w:t>
            </w:r>
            <w:r>
              <w:rPr>
                <w:rStyle w:val="Strong"/>
              </w:rPr>
              <w:t>o Consider</w:t>
            </w:r>
          </w:p>
        </w:tc>
        <w:tc>
          <w:tcPr>
            <w:tcW w:w="1068" w:type="pct"/>
            <w:hideMark/>
          </w:tcPr>
          <w:p w14:paraId="3C52762E" w14:textId="77777777" w:rsidR="0019570D" w:rsidRPr="009F40B9" w:rsidRDefault="0019570D" w:rsidP="0019570D">
            <w:pPr>
              <w:pStyle w:val="TableParagraph"/>
              <w:rPr>
                <w:rStyle w:val="Strong"/>
              </w:rPr>
            </w:pPr>
            <w:r w:rsidRPr="009F40B9">
              <w:rPr>
                <w:rStyle w:val="Strong"/>
              </w:rPr>
              <w:t>ISCR Measures</w:t>
            </w:r>
          </w:p>
          <w:p w14:paraId="428C8EC3" w14:textId="77777777" w:rsidR="004B3D41" w:rsidRPr="00AA7106"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9C68E7" w:rsidRPr="00AE595D" w14:paraId="3F8644B3" w14:textId="77777777" w:rsidTr="00F746A8">
        <w:trPr>
          <w:cantSplit/>
          <w:trHeight w:val="334"/>
        </w:trPr>
        <w:tc>
          <w:tcPr>
            <w:tcW w:w="408" w:type="pct"/>
            <w:hideMark/>
          </w:tcPr>
          <w:p w14:paraId="316674B3" w14:textId="77777777" w:rsidR="009C68E7" w:rsidRPr="00D0345E" w:rsidRDefault="00B1622A" w:rsidP="00AA7106">
            <w:pPr>
              <w:pStyle w:val="TableParagraph"/>
              <w:rPr>
                <w:b/>
              </w:rPr>
            </w:pPr>
            <w:r w:rsidRPr="00D0345E">
              <w:rPr>
                <w:b/>
              </w:rPr>
              <w:t xml:space="preserve">All ISCR </w:t>
            </w:r>
            <w:r w:rsidR="00AA7106" w:rsidRPr="00D0345E">
              <w:rPr>
                <w:b/>
              </w:rPr>
              <w:t>Pathway</w:t>
            </w:r>
            <w:r w:rsidRPr="00D0345E">
              <w:rPr>
                <w:b/>
              </w:rPr>
              <w:t>s</w:t>
            </w:r>
            <w:r w:rsidR="009C68E7" w:rsidRPr="00D0345E">
              <w:rPr>
                <w:b/>
              </w:rPr>
              <w:t xml:space="preserve"> </w:t>
            </w:r>
          </w:p>
        </w:tc>
        <w:tc>
          <w:tcPr>
            <w:tcW w:w="408" w:type="pct"/>
          </w:tcPr>
          <w:p w14:paraId="4297CD0C" w14:textId="77777777" w:rsidR="009C68E7" w:rsidRPr="00D0345E" w:rsidRDefault="009C68E7" w:rsidP="00AA7106">
            <w:pPr>
              <w:pStyle w:val="TableParagraph"/>
              <w:rPr>
                <w:b/>
              </w:rPr>
            </w:pPr>
            <w:bookmarkStart w:id="42" w:name="_Hlk111560248"/>
            <w:r w:rsidRPr="00D0345E">
              <w:rPr>
                <w:b/>
              </w:rPr>
              <w:t xml:space="preserve">Early </w:t>
            </w:r>
            <w:r w:rsidR="00437D1E" w:rsidRPr="00D0345E">
              <w:rPr>
                <w:b/>
              </w:rPr>
              <w:t>Indwelling</w:t>
            </w:r>
            <w:r w:rsidR="00AC6F08">
              <w:rPr>
                <w:b/>
              </w:rPr>
              <w:t xml:space="preserve"> Urinary</w:t>
            </w:r>
            <w:r w:rsidR="00437D1E" w:rsidRPr="00D0345E">
              <w:rPr>
                <w:b/>
              </w:rPr>
              <w:t xml:space="preserve"> Catheter</w:t>
            </w:r>
            <w:r w:rsidRPr="00D0345E">
              <w:rPr>
                <w:b/>
              </w:rPr>
              <w:t xml:space="preserve"> Removal or Avoidance</w:t>
            </w:r>
            <w:bookmarkEnd w:id="42"/>
          </w:p>
        </w:tc>
        <w:tc>
          <w:tcPr>
            <w:tcW w:w="1278" w:type="pct"/>
          </w:tcPr>
          <w:p w14:paraId="54A20CEA" w14:textId="77777777" w:rsidR="009C68E7" w:rsidRPr="00D0345E" w:rsidRDefault="009C68E7" w:rsidP="00526834">
            <w:pPr>
              <w:pStyle w:val="TableParagraph"/>
              <w:spacing w:after="120" w:line="240" w:lineRule="auto"/>
              <w:rPr>
                <w:rFonts w:eastAsia="Times New Roman" w:cs="Times New Roman"/>
                <w:b/>
                <w:color w:val="000000"/>
              </w:rPr>
            </w:pPr>
            <w:r w:rsidRPr="00D0345E">
              <w:rPr>
                <w:rFonts w:eastAsia="Times New Roman" w:cs="Times New Roman"/>
                <w:b/>
                <w:color w:val="000000"/>
              </w:rPr>
              <w:t xml:space="preserve">Choose your approach: </w:t>
            </w:r>
          </w:p>
          <w:p w14:paraId="67D658C1" w14:textId="77777777" w:rsidR="009C68E7" w:rsidRPr="00AE595D" w:rsidRDefault="009C68E7" w:rsidP="00AA7106">
            <w:pPr>
              <w:pStyle w:val="Bullet1"/>
            </w:pPr>
            <w:r w:rsidRPr="00AE595D">
              <w:t xml:space="preserve">No </w:t>
            </w:r>
            <w:r w:rsidR="00AC6F08">
              <w:t>indwelling urinary catheter</w:t>
            </w:r>
          </w:p>
          <w:p w14:paraId="2517C599" w14:textId="546704EE" w:rsidR="009C68E7" w:rsidRPr="00AE595D" w:rsidRDefault="009C68E7" w:rsidP="00AA7106">
            <w:pPr>
              <w:pStyle w:val="Bullet1"/>
              <w:rPr>
                <w:rFonts w:eastAsia="Times New Roman" w:cs="Times New Roman"/>
              </w:rPr>
            </w:pPr>
            <w:r w:rsidRPr="00AE595D">
              <w:rPr>
                <w:rFonts w:eastAsia="Times New Roman" w:cs="Times New Roman"/>
              </w:rPr>
              <w:t>D</w:t>
            </w:r>
            <w:r w:rsidR="002D7076">
              <w:rPr>
                <w:rFonts w:eastAsia="Times New Roman" w:cs="Times New Roman"/>
              </w:rPr>
              <w:t xml:space="preserve">iscontinue </w:t>
            </w:r>
            <w:r w:rsidR="00AC6F08">
              <w:rPr>
                <w:rFonts w:eastAsia="Times New Roman" w:cs="Times New Roman"/>
              </w:rPr>
              <w:t>indwelling urinary catheter</w:t>
            </w:r>
            <w:r w:rsidRPr="00AE595D">
              <w:rPr>
                <w:rFonts w:eastAsia="Times New Roman" w:cs="Times New Roman"/>
              </w:rPr>
              <w:t xml:space="preserve"> on POD 0 </w:t>
            </w:r>
          </w:p>
          <w:p w14:paraId="1C043E20" w14:textId="0F350604" w:rsidR="009C68E7" w:rsidRPr="00AA7106" w:rsidRDefault="009C68E7" w:rsidP="00AA7106">
            <w:pPr>
              <w:pStyle w:val="Bullet1"/>
              <w:rPr>
                <w:rFonts w:eastAsia="Times New Roman" w:cs="Times New Roman"/>
              </w:rPr>
            </w:pPr>
            <w:r w:rsidRPr="00AE595D">
              <w:rPr>
                <w:rFonts w:eastAsia="Times New Roman" w:cs="Times New Roman"/>
              </w:rPr>
              <w:t>D</w:t>
            </w:r>
            <w:r w:rsidR="001F5335">
              <w:rPr>
                <w:rFonts w:eastAsia="Times New Roman" w:cs="Times New Roman"/>
              </w:rPr>
              <w:t xml:space="preserve">iscontinue </w:t>
            </w:r>
            <w:r w:rsidRPr="00AE595D">
              <w:rPr>
                <w:rFonts w:eastAsia="Times New Roman" w:cs="Times New Roman"/>
              </w:rPr>
              <w:t xml:space="preserve"> </w:t>
            </w:r>
            <w:r w:rsidR="00AC6F08">
              <w:rPr>
                <w:rFonts w:eastAsia="Times New Roman" w:cs="Times New Roman"/>
              </w:rPr>
              <w:t>indwelling urinary catheter</w:t>
            </w:r>
            <w:r w:rsidRPr="00AE595D">
              <w:rPr>
                <w:rFonts w:eastAsia="Times New Roman" w:cs="Times New Roman"/>
              </w:rPr>
              <w:t xml:space="preserve"> on POD 1</w:t>
            </w:r>
          </w:p>
        </w:tc>
        <w:tc>
          <w:tcPr>
            <w:tcW w:w="777" w:type="pct"/>
          </w:tcPr>
          <w:p w14:paraId="69D0064C" w14:textId="74E196BD" w:rsidR="009C68E7" w:rsidRPr="00AE595D" w:rsidRDefault="00C2156C" w:rsidP="00AA7106">
            <w:pPr>
              <w:pStyle w:val="TableParagraph"/>
              <w:rPr>
                <w:rFonts w:eastAsia="Times New Roman" w:cs="Times New Roman"/>
                <w:color w:val="000000"/>
              </w:rPr>
            </w:pPr>
            <w:r w:rsidRPr="007C7841">
              <w:rPr>
                <w:rFonts w:eastAsia="Times New Roman" w:cs="Times New Roman"/>
                <w:i/>
                <w:color w:val="000000"/>
              </w:rPr>
              <w:t xml:space="preserve">Enter </w:t>
            </w:r>
            <w:r w:rsidR="005177D6">
              <w:rPr>
                <w:rFonts w:eastAsia="Times New Roman" w:cs="Times New Roman"/>
                <w:i/>
                <w:color w:val="000000"/>
              </w:rPr>
              <w:t xml:space="preserve">team decisions/notes </w:t>
            </w:r>
            <w:r w:rsidRPr="007C7841">
              <w:rPr>
                <w:rFonts w:eastAsia="Times New Roman" w:cs="Times New Roman"/>
                <w:i/>
                <w:color w:val="000000"/>
              </w:rPr>
              <w:t>here</w:t>
            </w:r>
          </w:p>
        </w:tc>
        <w:tc>
          <w:tcPr>
            <w:tcW w:w="1061" w:type="pct"/>
          </w:tcPr>
          <w:p w14:paraId="6C8E860C" w14:textId="00347BFB" w:rsidR="009C68E7" w:rsidRPr="00AE595D" w:rsidRDefault="003023A5" w:rsidP="00AA7106">
            <w:pPr>
              <w:pStyle w:val="TableParagraph"/>
              <w:rPr>
                <w:rFonts w:eastAsia="Times New Roman" w:cs="Times New Roman"/>
                <w:color w:val="000000"/>
              </w:rPr>
            </w:pPr>
            <w:r w:rsidRPr="00344B22">
              <w:rPr>
                <w:rFonts w:eastAsia="Times New Roman" w:cs="Times New Roman"/>
                <w:b/>
                <w:color w:val="000000"/>
              </w:rPr>
              <w:t>Tip</w:t>
            </w:r>
            <w:r w:rsidR="009C68E7" w:rsidRPr="00AE595D">
              <w:rPr>
                <w:rFonts w:eastAsia="Times New Roman" w:cs="Times New Roman"/>
                <w:color w:val="000000"/>
              </w:rPr>
              <w:t xml:space="preserve">: Have instructions placed in standardized order sets </w:t>
            </w:r>
            <w:r w:rsidR="00DF0B60">
              <w:rPr>
                <w:rFonts w:eastAsia="Times New Roman" w:cs="Times New Roman"/>
                <w:color w:val="000000"/>
              </w:rPr>
              <w:t xml:space="preserve">to </w:t>
            </w:r>
            <w:r w:rsidR="001F5335">
              <w:rPr>
                <w:rFonts w:eastAsia="Times New Roman" w:cs="Times New Roman"/>
                <w:color w:val="000000"/>
              </w:rPr>
              <w:t xml:space="preserve">discontinue </w:t>
            </w:r>
            <w:r w:rsidR="00DF0B60">
              <w:rPr>
                <w:rFonts w:eastAsia="Times New Roman" w:cs="Times New Roman"/>
                <w:color w:val="000000"/>
              </w:rPr>
              <w:t>if catheter left in at end of surgery</w:t>
            </w:r>
            <w:r w:rsidR="008A4CA8">
              <w:rPr>
                <w:rFonts w:eastAsia="Times New Roman" w:cs="Times New Roman"/>
                <w:color w:val="000000"/>
              </w:rPr>
              <w:t>.</w:t>
            </w:r>
          </w:p>
          <w:p w14:paraId="32B95E8A" w14:textId="61C783D0" w:rsidR="009C68E7" w:rsidRPr="00AE595D" w:rsidRDefault="003023A5" w:rsidP="00AA7106">
            <w:pPr>
              <w:pStyle w:val="TableParagraph"/>
              <w:rPr>
                <w:rFonts w:eastAsia="Times New Roman" w:cs="Times New Roman"/>
                <w:color w:val="000000"/>
              </w:rPr>
            </w:pPr>
            <w:r w:rsidRPr="00890EAD">
              <w:rPr>
                <w:b/>
                <w:color w:val="000000"/>
              </w:rPr>
              <w:t>Tip</w:t>
            </w:r>
            <w:r w:rsidR="009C68E7" w:rsidRPr="00AE595D">
              <w:rPr>
                <w:color w:val="000000"/>
              </w:rPr>
              <w:t xml:space="preserve">: Consider either not using </w:t>
            </w:r>
            <w:r w:rsidR="00AC6F08">
              <w:rPr>
                <w:color w:val="000000"/>
              </w:rPr>
              <w:t>indwelling urinary</w:t>
            </w:r>
            <w:r w:rsidR="009C68E7" w:rsidRPr="00AE595D">
              <w:rPr>
                <w:color w:val="000000"/>
              </w:rPr>
              <w:t xml:space="preserve"> catheters or removing at the end of the operation.</w:t>
            </w:r>
          </w:p>
        </w:tc>
        <w:tc>
          <w:tcPr>
            <w:tcW w:w="1068" w:type="pct"/>
          </w:tcPr>
          <w:p w14:paraId="0C6CA86E" w14:textId="77777777" w:rsidR="009C68E7" w:rsidRPr="00AE595D" w:rsidRDefault="001F7C6C" w:rsidP="00AA7106">
            <w:pPr>
              <w:pStyle w:val="TableParagraph"/>
              <w:rPr>
                <w:rFonts w:eastAsia="Times New Roman" w:cs="Times New Roman"/>
                <w:color w:val="000000"/>
              </w:rPr>
            </w:pPr>
            <w:r w:rsidRPr="00AE595D">
              <w:rPr>
                <w:rFonts w:eastAsia="Times New Roman" w:cs="Times New Roman"/>
                <w:color w:val="000000"/>
              </w:rPr>
              <w:t xml:space="preserve">Prolonged indwelling urinary catheterization </w:t>
            </w:r>
          </w:p>
        </w:tc>
      </w:tr>
    </w:tbl>
    <w:p w14:paraId="1D065E79" w14:textId="0D60BF8F" w:rsidR="00605B85" w:rsidRPr="00AE595D" w:rsidRDefault="005177D6" w:rsidP="00AE595D">
      <w:pPr>
        <w:spacing w:after="120" w:line="240" w:lineRule="auto"/>
        <w:rPr>
          <w:rFonts w:eastAsia="Times New Roman" w:cs="Times New Roman"/>
          <w:b/>
          <w:bCs/>
          <w:color w:val="000000"/>
        </w:rPr>
      </w:pPr>
      <w:r w:rsidRPr="00AE595D">
        <w:t>Abbreviations:</w:t>
      </w:r>
      <w:r>
        <w:t xml:space="preserve"> ISCR = Improving Surgical Care and Recovery</w:t>
      </w:r>
    </w:p>
    <w:p w14:paraId="1862FA76" w14:textId="0F6EAED8" w:rsidR="00014742" w:rsidRDefault="00014742">
      <w:pPr>
        <w:spacing w:after="160" w:line="259" w:lineRule="auto"/>
        <w:ind w:left="360" w:hanging="360"/>
        <w:rPr>
          <w:b/>
          <w:bCs/>
          <w:sz w:val="28"/>
          <w:szCs w:val="28"/>
        </w:rPr>
      </w:pPr>
      <w:r>
        <w:br w:type="page"/>
      </w:r>
    </w:p>
    <w:p w14:paraId="282F44AE" w14:textId="77777777" w:rsidR="006A1585" w:rsidRDefault="006A1585">
      <w:pPr>
        <w:pStyle w:val="Heading2"/>
      </w:pPr>
      <w:bookmarkStart w:id="43" w:name="_Toc117000821"/>
      <w:r w:rsidRPr="00AE595D">
        <w:lastRenderedPageBreak/>
        <w:t>Postoperative</w:t>
      </w:r>
      <w:r w:rsidR="00AA7106" w:rsidRPr="00AA7106">
        <w:t xml:space="preserve"> IV Fluid Discontinuation</w:t>
      </w:r>
      <w:bookmarkEnd w:id="43"/>
      <w:r w:rsidRPr="00AE595D">
        <w:t xml:space="preserve"> </w:t>
      </w:r>
    </w:p>
    <w:p w14:paraId="386A8973" w14:textId="78850C52" w:rsidR="00AA7106" w:rsidRPr="00AE595D" w:rsidRDefault="00AA7106" w:rsidP="00AA7106">
      <w:pPr>
        <w:pStyle w:val="BodyText1"/>
      </w:pPr>
      <w:r w:rsidRPr="00AA7106">
        <w:t xml:space="preserve">Routine discontinuation of </w:t>
      </w:r>
      <w:r w:rsidR="00606DAE">
        <w:t>intravenous (</w:t>
      </w:r>
      <w:r w:rsidRPr="00AA7106">
        <w:t>IV</w:t>
      </w:r>
      <w:r w:rsidR="00606DAE">
        <w:t>)</w:t>
      </w:r>
      <w:r w:rsidRPr="00AA7106">
        <w:t xml:space="preserve"> maintenance fluid is recommended as soon as the patient is drinking liquids unless the patient has difficulty with oral intake, there is evidence of kidney injury, or there is evidence of hypovolemia. This is usually on postoperative day</w:t>
      </w:r>
      <w:r w:rsidR="005177D6">
        <w:t xml:space="preserve"> (POD)</w:t>
      </w:r>
      <w:r w:rsidR="005F17B5">
        <w:t xml:space="preserve"> 1</w:t>
      </w:r>
      <w:r>
        <w:t>.</w:t>
      </w:r>
      <w:r w:rsidRPr="00AA7106">
        <w:t xml:space="preserve"> </w:t>
      </w:r>
    </w:p>
    <w:tbl>
      <w:tblPr>
        <w:tblStyle w:val="GridTable1Light1"/>
        <w:tblW w:w="5000" w:type="pct"/>
        <w:tblLook w:val="0600" w:firstRow="0" w:lastRow="0" w:firstColumn="0" w:lastColumn="0" w:noHBand="1" w:noVBand="1"/>
      </w:tblPr>
      <w:tblGrid>
        <w:gridCol w:w="1879"/>
        <w:gridCol w:w="1893"/>
        <w:gridCol w:w="5873"/>
        <w:gridCol w:w="3565"/>
        <w:gridCol w:w="4901"/>
        <w:gridCol w:w="4919"/>
      </w:tblGrid>
      <w:tr w:rsidR="004B3D41" w:rsidRPr="00B4239C" w14:paraId="65C82B4F" w14:textId="77777777" w:rsidTr="00F746A8">
        <w:trPr>
          <w:cantSplit/>
          <w:trHeight w:val="973"/>
          <w:tblHeader/>
        </w:trPr>
        <w:tc>
          <w:tcPr>
            <w:tcW w:w="408" w:type="pct"/>
            <w:hideMark/>
          </w:tcPr>
          <w:p w14:paraId="6A27CA21" w14:textId="365AEFC8" w:rsidR="004B3D41" w:rsidRPr="00B4239C" w:rsidRDefault="004B3D41" w:rsidP="00B4239C">
            <w:pPr>
              <w:pStyle w:val="TableParagraph"/>
              <w:rPr>
                <w:rStyle w:val="Strong"/>
              </w:rPr>
            </w:pPr>
            <w:r w:rsidRPr="00B4239C">
              <w:rPr>
                <w:rStyle w:val="Strong"/>
              </w:rPr>
              <w:t xml:space="preserve">Pathway </w:t>
            </w:r>
          </w:p>
        </w:tc>
        <w:tc>
          <w:tcPr>
            <w:tcW w:w="411" w:type="pct"/>
            <w:hideMark/>
          </w:tcPr>
          <w:p w14:paraId="13824D86" w14:textId="77777777" w:rsidR="004B3D41" w:rsidRPr="00B4239C" w:rsidRDefault="004B3D41" w:rsidP="00B4239C">
            <w:pPr>
              <w:pStyle w:val="TableParagraph"/>
              <w:rPr>
                <w:rStyle w:val="Strong"/>
              </w:rPr>
            </w:pPr>
            <w:r w:rsidRPr="00B4239C">
              <w:rPr>
                <w:rStyle w:val="Strong"/>
              </w:rPr>
              <w:t>Component</w:t>
            </w:r>
          </w:p>
        </w:tc>
        <w:tc>
          <w:tcPr>
            <w:tcW w:w="1275" w:type="pct"/>
            <w:hideMark/>
          </w:tcPr>
          <w:p w14:paraId="08E4D8FC" w14:textId="23369237" w:rsidR="002807EE" w:rsidRDefault="004B3D41" w:rsidP="00B4239C">
            <w:pPr>
              <w:pStyle w:val="TableParagraph"/>
              <w:rPr>
                <w:rStyle w:val="Strong"/>
              </w:rPr>
            </w:pPr>
            <w:r w:rsidRPr="00B4239C">
              <w:rPr>
                <w:rStyle w:val="Strong"/>
              </w:rPr>
              <w:t xml:space="preserve">Example Processes </w:t>
            </w:r>
            <w:r w:rsidR="005177D6">
              <w:rPr>
                <w:rStyle w:val="Strong"/>
              </w:rPr>
              <w:t>T</w:t>
            </w:r>
            <w:r w:rsidRPr="00B4239C">
              <w:rPr>
                <w:rStyle w:val="Strong"/>
              </w:rPr>
              <w:t>o Consider</w:t>
            </w:r>
          </w:p>
          <w:p w14:paraId="4E650414" w14:textId="77777777" w:rsidR="004B3D41" w:rsidRPr="00D0345E" w:rsidRDefault="004B3D41" w:rsidP="00B4239C">
            <w:pPr>
              <w:pStyle w:val="TableParagraph"/>
              <w:rPr>
                <w:rStyle w:val="Strong"/>
                <w:b w:val="0"/>
                <w:i/>
              </w:rPr>
            </w:pPr>
            <w:r w:rsidRPr="00D0345E">
              <w:rPr>
                <w:rStyle w:val="Strong"/>
                <w:b w:val="0"/>
                <w:i/>
              </w:rPr>
              <w:t>As a team, go through each component and discuss what approach best fits your hospital. It may be an option other than what is listed below.</w:t>
            </w:r>
          </w:p>
        </w:tc>
        <w:tc>
          <w:tcPr>
            <w:tcW w:w="774" w:type="pct"/>
            <w:hideMark/>
          </w:tcPr>
          <w:p w14:paraId="145A4684" w14:textId="77777777" w:rsidR="004B3D41" w:rsidRPr="00B4239C" w:rsidRDefault="004B3D41" w:rsidP="00B4239C">
            <w:pPr>
              <w:pStyle w:val="TableParagraph"/>
              <w:rPr>
                <w:rStyle w:val="Strong"/>
              </w:rPr>
            </w:pPr>
            <w:r w:rsidRPr="00B4239C">
              <w:rPr>
                <w:rStyle w:val="Strong"/>
              </w:rPr>
              <w:t>Team Decisions/Notes</w:t>
            </w:r>
          </w:p>
          <w:p w14:paraId="664FE1DC" w14:textId="77777777" w:rsidR="004B3D41" w:rsidRPr="00D0345E" w:rsidRDefault="004B3D41" w:rsidP="00B4239C">
            <w:pPr>
              <w:pStyle w:val="TableParagraph"/>
              <w:rPr>
                <w:rStyle w:val="Strong"/>
                <w:b w:val="0"/>
                <w:i/>
              </w:rPr>
            </w:pPr>
            <w:r w:rsidRPr="00D0345E">
              <w:rPr>
                <w:rStyle w:val="Strong"/>
                <w:b w:val="0"/>
                <w:i/>
              </w:rPr>
              <w:t>As a team, note exceptions and contraindications to the</w:t>
            </w:r>
            <w:r w:rsidR="00D0345E">
              <w:rPr>
                <w:rStyle w:val="Strong"/>
                <w:b w:val="0"/>
                <w:i/>
              </w:rPr>
              <w:t xml:space="preserve"> </w:t>
            </w:r>
            <w:r w:rsidRPr="00D0345E">
              <w:rPr>
                <w:rStyle w:val="Strong"/>
                <w:b w:val="0"/>
                <w:i/>
              </w:rPr>
              <w:t>treatment or medications.</w:t>
            </w:r>
          </w:p>
        </w:tc>
        <w:tc>
          <w:tcPr>
            <w:tcW w:w="1064" w:type="pct"/>
            <w:hideMark/>
          </w:tcPr>
          <w:p w14:paraId="21989FB2" w14:textId="6C58FB35" w:rsidR="004B3D41" w:rsidRPr="00B4239C" w:rsidRDefault="00AA140E" w:rsidP="00B4239C">
            <w:pPr>
              <w:pStyle w:val="TableParagraph"/>
              <w:rPr>
                <w:rStyle w:val="Strong"/>
              </w:rPr>
            </w:pPr>
            <w:r>
              <w:rPr>
                <w:rStyle w:val="Strong"/>
              </w:rPr>
              <w:t xml:space="preserve">Other Available Resources </w:t>
            </w:r>
            <w:r w:rsidR="005177D6">
              <w:rPr>
                <w:rStyle w:val="Strong"/>
              </w:rPr>
              <w:t>and</w:t>
            </w:r>
            <w:r>
              <w:rPr>
                <w:rStyle w:val="Strong"/>
              </w:rPr>
              <w:t xml:space="preserve"> Tips </w:t>
            </w:r>
            <w:r w:rsidR="005177D6">
              <w:rPr>
                <w:rStyle w:val="Strong"/>
              </w:rPr>
              <w:t>T</w:t>
            </w:r>
            <w:r>
              <w:rPr>
                <w:rStyle w:val="Strong"/>
              </w:rPr>
              <w:t>o Consider</w:t>
            </w:r>
          </w:p>
        </w:tc>
        <w:tc>
          <w:tcPr>
            <w:tcW w:w="1068" w:type="pct"/>
            <w:hideMark/>
          </w:tcPr>
          <w:p w14:paraId="77334348" w14:textId="77777777" w:rsidR="0019570D" w:rsidRPr="009F40B9" w:rsidRDefault="0019570D" w:rsidP="0019570D">
            <w:pPr>
              <w:pStyle w:val="TableParagraph"/>
              <w:rPr>
                <w:rStyle w:val="Strong"/>
              </w:rPr>
            </w:pPr>
            <w:r w:rsidRPr="009F40B9">
              <w:rPr>
                <w:rStyle w:val="Strong"/>
              </w:rPr>
              <w:t>ISCR Measures</w:t>
            </w:r>
          </w:p>
          <w:p w14:paraId="04A91646" w14:textId="77777777" w:rsidR="004B3D41" w:rsidRPr="00B4239C"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E01C3A" w:rsidRPr="00AE595D" w14:paraId="2F5ECAE9" w14:textId="77777777" w:rsidTr="00F746A8">
        <w:trPr>
          <w:cantSplit/>
          <w:trHeight w:val="334"/>
        </w:trPr>
        <w:tc>
          <w:tcPr>
            <w:tcW w:w="408" w:type="pct"/>
            <w:hideMark/>
          </w:tcPr>
          <w:p w14:paraId="4B325229" w14:textId="77777777" w:rsidR="001F7C6C" w:rsidRPr="00D0345E" w:rsidRDefault="00B1622A" w:rsidP="00B4239C">
            <w:pPr>
              <w:pStyle w:val="TableParagraph"/>
              <w:rPr>
                <w:b/>
              </w:rPr>
            </w:pPr>
            <w:r w:rsidRPr="00D0345E">
              <w:rPr>
                <w:b/>
              </w:rPr>
              <w:t>All ISCR Pathways</w:t>
            </w:r>
          </w:p>
        </w:tc>
        <w:tc>
          <w:tcPr>
            <w:tcW w:w="411" w:type="pct"/>
          </w:tcPr>
          <w:p w14:paraId="6486CE47" w14:textId="77777777" w:rsidR="00E01C3A" w:rsidRPr="00D0345E" w:rsidRDefault="00E01C3A" w:rsidP="00B4239C">
            <w:pPr>
              <w:pStyle w:val="TableParagraph"/>
              <w:rPr>
                <w:b/>
              </w:rPr>
            </w:pPr>
            <w:r w:rsidRPr="00D0345E">
              <w:rPr>
                <w:b/>
              </w:rPr>
              <w:t>IV Fluid Discontinuation</w:t>
            </w:r>
          </w:p>
        </w:tc>
        <w:tc>
          <w:tcPr>
            <w:tcW w:w="1275" w:type="pct"/>
          </w:tcPr>
          <w:p w14:paraId="22A45C67" w14:textId="77777777" w:rsidR="00E01C3A" w:rsidRPr="00D0345E" w:rsidRDefault="00E01C3A" w:rsidP="00526834">
            <w:pPr>
              <w:pStyle w:val="TableParagraph"/>
              <w:spacing w:after="120" w:line="240" w:lineRule="auto"/>
              <w:rPr>
                <w:rFonts w:eastAsia="Times New Roman" w:cs="Times New Roman"/>
                <w:b/>
                <w:color w:val="000000"/>
              </w:rPr>
            </w:pPr>
            <w:r w:rsidRPr="00D0345E">
              <w:rPr>
                <w:rFonts w:eastAsia="Times New Roman" w:cs="Times New Roman"/>
                <w:b/>
                <w:color w:val="000000"/>
              </w:rPr>
              <w:t xml:space="preserve">Choose your approach: </w:t>
            </w:r>
          </w:p>
          <w:p w14:paraId="16799065" w14:textId="353739E2" w:rsidR="00B1622A" w:rsidRDefault="00631A3F" w:rsidP="00B4239C">
            <w:pPr>
              <w:pStyle w:val="Bullet1"/>
            </w:pPr>
            <w:r>
              <w:t>Change IV to</w:t>
            </w:r>
            <w:r w:rsidR="00344B22">
              <w:t xml:space="preserve"> heparin or saline </w:t>
            </w:r>
            <w:r w:rsidR="00E01C3A" w:rsidRPr="00AE595D">
              <w:t xml:space="preserve">lock IV </w:t>
            </w:r>
            <w:r w:rsidR="00CB6C14">
              <w:t xml:space="preserve">on </w:t>
            </w:r>
            <w:r w:rsidR="00E01C3A" w:rsidRPr="00AE595D">
              <w:t>POD 0</w:t>
            </w:r>
          </w:p>
          <w:p w14:paraId="50A53647" w14:textId="43EDB5CE" w:rsidR="00E01C3A" w:rsidRPr="00AE595D" w:rsidRDefault="00631A3F" w:rsidP="00B4239C">
            <w:pPr>
              <w:pStyle w:val="Bullet1"/>
            </w:pPr>
            <w:r>
              <w:t xml:space="preserve">Change IV to </w:t>
            </w:r>
            <w:r w:rsidR="00344B22">
              <w:t xml:space="preserve">heparin or saline </w:t>
            </w:r>
            <w:r w:rsidR="00B1622A">
              <w:t xml:space="preserve">lock IV </w:t>
            </w:r>
            <w:r w:rsidR="00CB6C14">
              <w:t xml:space="preserve">on </w:t>
            </w:r>
            <w:r w:rsidR="00B1622A">
              <w:t>POD 1</w:t>
            </w:r>
            <w:r w:rsidR="00E01C3A" w:rsidRPr="00AE595D">
              <w:t xml:space="preserve"> </w:t>
            </w:r>
          </w:p>
          <w:p w14:paraId="6D20157C" w14:textId="77777777" w:rsidR="00B1622A" w:rsidRPr="00AE595D" w:rsidRDefault="00B1622A" w:rsidP="00B1622A">
            <w:pPr>
              <w:pStyle w:val="Bullet1"/>
              <w:numPr>
                <w:ilvl w:val="0"/>
                <w:numId w:val="0"/>
              </w:numPr>
              <w:rPr>
                <w:rFonts w:eastAsia="Times New Roman" w:cs="Times New Roman"/>
                <w:color w:val="000000"/>
              </w:rPr>
            </w:pPr>
          </w:p>
        </w:tc>
        <w:tc>
          <w:tcPr>
            <w:tcW w:w="774" w:type="pct"/>
          </w:tcPr>
          <w:p w14:paraId="02E53222" w14:textId="311C0313" w:rsidR="00E01C3A" w:rsidRPr="00AE595D" w:rsidRDefault="00C2156C" w:rsidP="00B4239C">
            <w:pPr>
              <w:pStyle w:val="TableParagraph"/>
              <w:rPr>
                <w:rFonts w:eastAsia="Times New Roman" w:cs="Times New Roman"/>
                <w:color w:val="000000"/>
              </w:rPr>
            </w:pPr>
            <w:r w:rsidRPr="007C7841">
              <w:rPr>
                <w:rFonts w:eastAsia="Times New Roman" w:cs="Times New Roman"/>
                <w:i/>
                <w:color w:val="000000"/>
              </w:rPr>
              <w:t xml:space="preserve">Enter </w:t>
            </w:r>
            <w:r w:rsidR="005177D6">
              <w:rPr>
                <w:rFonts w:eastAsia="Times New Roman" w:cs="Times New Roman"/>
                <w:i/>
                <w:color w:val="000000"/>
              </w:rPr>
              <w:t xml:space="preserve">team decisions/notes </w:t>
            </w:r>
            <w:r w:rsidRPr="007C7841">
              <w:rPr>
                <w:rFonts w:eastAsia="Times New Roman" w:cs="Times New Roman"/>
                <w:i/>
                <w:color w:val="000000"/>
              </w:rPr>
              <w:t>here</w:t>
            </w:r>
          </w:p>
        </w:tc>
        <w:tc>
          <w:tcPr>
            <w:tcW w:w="1064" w:type="pct"/>
          </w:tcPr>
          <w:p w14:paraId="2DC0EE09" w14:textId="6C1CDC80" w:rsidR="00E01C3A" w:rsidRPr="00AE595D" w:rsidRDefault="003023A5" w:rsidP="00B4239C">
            <w:pPr>
              <w:pStyle w:val="TableParagraph"/>
              <w:rPr>
                <w:rFonts w:eastAsia="Times New Roman" w:cs="Times New Roman"/>
                <w:color w:val="000000"/>
              </w:rPr>
            </w:pPr>
            <w:r>
              <w:rPr>
                <w:rFonts w:eastAsia="Times New Roman" w:cs="Times New Roman"/>
                <w:b/>
                <w:color w:val="000000"/>
              </w:rPr>
              <w:t>Tip</w:t>
            </w:r>
            <w:r w:rsidR="00E01C3A" w:rsidRPr="00D0345E">
              <w:rPr>
                <w:rFonts w:eastAsia="Times New Roman" w:cs="Times New Roman"/>
                <w:b/>
                <w:color w:val="000000"/>
              </w:rPr>
              <w:t>:</w:t>
            </w:r>
            <w:r w:rsidR="00E01C3A" w:rsidRPr="00AE595D">
              <w:rPr>
                <w:rFonts w:eastAsia="Times New Roman" w:cs="Times New Roman"/>
                <w:color w:val="000000"/>
              </w:rPr>
              <w:t xml:space="preserve"> Place in order sets</w:t>
            </w:r>
            <w:r w:rsidR="008A4CA8">
              <w:rPr>
                <w:rFonts w:eastAsia="Times New Roman" w:cs="Times New Roman"/>
                <w:color w:val="000000"/>
              </w:rPr>
              <w:t>.</w:t>
            </w:r>
          </w:p>
        </w:tc>
        <w:tc>
          <w:tcPr>
            <w:tcW w:w="1068" w:type="pct"/>
          </w:tcPr>
          <w:p w14:paraId="5D78A523" w14:textId="77777777" w:rsidR="00E01C3A" w:rsidRPr="00AE595D" w:rsidRDefault="00E01C3A" w:rsidP="00B4239C">
            <w:pPr>
              <w:pStyle w:val="TableParagraph"/>
              <w:rPr>
                <w:rFonts w:eastAsia="Times New Roman" w:cs="Times New Roman"/>
                <w:color w:val="000000"/>
              </w:rPr>
            </w:pPr>
            <w:r w:rsidRPr="00AE595D">
              <w:rPr>
                <w:rFonts w:eastAsia="Times New Roman" w:cs="Times New Roman"/>
                <w:color w:val="000000"/>
              </w:rPr>
              <w:t xml:space="preserve">IV </w:t>
            </w:r>
            <w:r w:rsidR="00BF5037" w:rsidRPr="00AE595D">
              <w:rPr>
                <w:rFonts w:eastAsia="Times New Roman" w:cs="Times New Roman"/>
                <w:color w:val="000000"/>
              </w:rPr>
              <w:t xml:space="preserve">fluid discontinuation </w:t>
            </w:r>
          </w:p>
          <w:p w14:paraId="786426B3" w14:textId="77777777" w:rsidR="00E01C3A" w:rsidRPr="00AE595D" w:rsidRDefault="00E01C3A" w:rsidP="00B4239C">
            <w:pPr>
              <w:pStyle w:val="TableParagraph"/>
              <w:rPr>
                <w:rFonts w:asciiTheme="minorHAnsi" w:hAnsiTheme="minorHAnsi" w:cs="Times New Roman"/>
              </w:rPr>
            </w:pPr>
          </w:p>
          <w:p w14:paraId="352D8BF3" w14:textId="77777777" w:rsidR="00E01C3A" w:rsidRPr="00AE595D" w:rsidRDefault="00E01C3A" w:rsidP="00B4239C">
            <w:pPr>
              <w:pStyle w:val="TableParagraph"/>
              <w:rPr>
                <w:rFonts w:eastAsia="Times New Roman" w:cs="Times New Roman"/>
                <w:color w:val="000000"/>
              </w:rPr>
            </w:pPr>
          </w:p>
        </w:tc>
      </w:tr>
    </w:tbl>
    <w:p w14:paraId="629B1A1E" w14:textId="7DC00052" w:rsidR="004B3D41" w:rsidRPr="00AE595D" w:rsidRDefault="005177D6" w:rsidP="00AE595D">
      <w:pPr>
        <w:spacing w:after="120" w:line="240" w:lineRule="auto"/>
        <w:rPr>
          <w:b/>
        </w:rPr>
      </w:pPr>
      <w:r w:rsidRPr="00AE595D">
        <w:t>Abbreviations:</w:t>
      </w:r>
      <w:r>
        <w:t xml:space="preserve"> ISCR = Improving Surgical Care and Recovery</w:t>
      </w:r>
    </w:p>
    <w:p w14:paraId="7345EA0E" w14:textId="77777777" w:rsidR="00605B85" w:rsidRPr="00AE595D" w:rsidRDefault="00605B85" w:rsidP="00AE595D">
      <w:pPr>
        <w:spacing w:after="120" w:line="240" w:lineRule="auto"/>
        <w:rPr>
          <w:rFonts w:eastAsia="Times New Roman" w:cs="Times New Roman"/>
          <w:b/>
          <w:bCs/>
          <w:color w:val="000000"/>
        </w:rPr>
      </w:pPr>
      <w:r w:rsidRPr="00AE595D">
        <w:rPr>
          <w:rFonts w:eastAsia="Times New Roman" w:cs="Times New Roman"/>
          <w:b/>
          <w:bCs/>
          <w:color w:val="000000"/>
        </w:rPr>
        <w:br w:type="page"/>
      </w:r>
    </w:p>
    <w:p w14:paraId="5C311046" w14:textId="77777777" w:rsidR="006A1585" w:rsidRPr="00AE595D" w:rsidRDefault="006A1585">
      <w:pPr>
        <w:pStyle w:val="Heading2"/>
      </w:pPr>
      <w:bookmarkStart w:id="44" w:name="_Toc117000822"/>
      <w:r w:rsidRPr="00AE595D">
        <w:lastRenderedPageBreak/>
        <w:t>Postoperative</w:t>
      </w:r>
      <w:r w:rsidR="00216814" w:rsidRPr="00216814">
        <w:t xml:space="preserve"> Antibiotics</w:t>
      </w:r>
      <w:bookmarkEnd w:id="44"/>
      <w:r w:rsidRPr="00AE595D">
        <w:t xml:space="preserve"> </w:t>
      </w:r>
    </w:p>
    <w:tbl>
      <w:tblPr>
        <w:tblStyle w:val="GridTable1Light1"/>
        <w:tblW w:w="5000" w:type="pct"/>
        <w:tblLook w:val="0600" w:firstRow="0" w:lastRow="0" w:firstColumn="0" w:lastColumn="0" w:noHBand="1" w:noVBand="1"/>
      </w:tblPr>
      <w:tblGrid>
        <w:gridCol w:w="1899"/>
        <w:gridCol w:w="1889"/>
        <w:gridCol w:w="8370"/>
        <w:gridCol w:w="3686"/>
        <w:gridCol w:w="3957"/>
        <w:gridCol w:w="3229"/>
      </w:tblGrid>
      <w:tr w:rsidR="00F50278" w:rsidRPr="00E60BDE" w14:paraId="38C71218" w14:textId="77777777" w:rsidTr="00216814">
        <w:trPr>
          <w:cantSplit/>
          <w:trHeight w:val="973"/>
          <w:tblHeader/>
        </w:trPr>
        <w:tc>
          <w:tcPr>
            <w:tcW w:w="412" w:type="pct"/>
            <w:hideMark/>
          </w:tcPr>
          <w:p w14:paraId="614A2A90" w14:textId="2A43FE4E" w:rsidR="00F50278" w:rsidRPr="00E60BDE" w:rsidRDefault="00F50278" w:rsidP="00E60BDE">
            <w:pPr>
              <w:pStyle w:val="TableParagraph"/>
              <w:rPr>
                <w:rStyle w:val="Strong"/>
              </w:rPr>
            </w:pPr>
            <w:r w:rsidRPr="00E60BDE">
              <w:rPr>
                <w:rStyle w:val="Strong"/>
              </w:rPr>
              <w:t xml:space="preserve">Pathway </w:t>
            </w:r>
          </w:p>
        </w:tc>
        <w:tc>
          <w:tcPr>
            <w:tcW w:w="410" w:type="pct"/>
            <w:hideMark/>
          </w:tcPr>
          <w:p w14:paraId="754FCE0C" w14:textId="77777777" w:rsidR="00F50278" w:rsidRPr="00E60BDE" w:rsidRDefault="00F50278" w:rsidP="00E60BDE">
            <w:pPr>
              <w:pStyle w:val="TableParagraph"/>
              <w:rPr>
                <w:rStyle w:val="Strong"/>
              </w:rPr>
            </w:pPr>
            <w:r w:rsidRPr="00E60BDE">
              <w:rPr>
                <w:rStyle w:val="Strong"/>
              </w:rPr>
              <w:t>Component</w:t>
            </w:r>
          </w:p>
        </w:tc>
        <w:tc>
          <w:tcPr>
            <w:tcW w:w="1817" w:type="pct"/>
            <w:hideMark/>
          </w:tcPr>
          <w:p w14:paraId="11A0863E" w14:textId="22B45664" w:rsidR="00E60BDE" w:rsidRDefault="00F50278" w:rsidP="00E60BDE">
            <w:pPr>
              <w:pStyle w:val="TableParagraph"/>
              <w:rPr>
                <w:rStyle w:val="Strong"/>
              </w:rPr>
            </w:pPr>
            <w:r w:rsidRPr="00E60BDE">
              <w:rPr>
                <w:rStyle w:val="Strong"/>
              </w:rPr>
              <w:t xml:space="preserve">Example Processes </w:t>
            </w:r>
            <w:r w:rsidR="003A5081">
              <w:rPr>
                <w:rStyle w:val="Strong"/>
              </w:rPr>
              <w:t>T</w:t>
            </w:r>
            <w:r w:rsidRPr="00E60BDE">
              <w:rPr>
                <w:rStyle w:val="Strong"/>
              </w:rPr>
              <w:t>o Consider</w:t>
            </w:r>
          </w:p>
          <w:p w14:paraId="564AB0F2" w14:textId="77777777" w:rsidR="00F50278" w:rsidRPr="00D0345E" w:rsidRDefault="00F50278" w:rsidP="00E60BDE">
            <w:pPr>
              <w:pStyle w:val="TableParagraph"/>
              <w:rPr>
                <w:rStyle w:val="Strong"/>
                <w:b w:val="0"/>
                <w:i/>
              </w:rPr>
            </w:pPr>
            <w:r w:rsidRPr="00D0345E">
              <w:rPr>
                <w:rStyle w:val="Strong"/>
                <w:b w:val="0"/>
                <w:i/>
              </w:rPr>
              <w:t>As a team, go through each component and discuss what approach best fits your hospital. It may be an option other than what is listed below.</w:t>
            </w:r>
          </w:p>
        </w:tc>
        <w:tc>
          <w:tcPr>
            <w:tcW w:w="800" w:type="pct"/>
            <w:hideMark/>
          </w:tcPr>
          <w:p w14:paraId="0A730524" w14:textId="77777777" w:rsidR="00F50278" w:rsidRPr="00E60BDE" w:rsidRDefault="00F50278" w:rsidP="00E60BDE">
            <w:pPr>
              <w:pStyle w:val="TableParagraph"/>
              <w:rPr>
                <w:rStyle w:val="Strong"/>
              </w:rPr>
            </w:pPr>
            <w:r w:rsidRPr="00E60BDE">
              <w:rPr>
                <w:rStyle w:val="Strong"/>
              </w:rPr>
              <w:t>Team Decisions/Notes</w:t>
            </w:r>
          </w:p>
          <w:p w14:paraId="7998E5A8" w14:textId="77777777" w:rsidR="00F50278" w:rsidRPr="00D0345E" w:rsidRDefault="00F50278" w:rsidP="00E60BDE">
            <w:pPr>
              <w:pStyle w:val="TableParagraph"/>
              <w:rPr>
                <w:rStyle w:val="Strong"/>
                <w:b w:val="0"/>
                <w:i/>
              </w:rPr>
            </w:pPr>
            <w:r w:rsidRPr="00D0345E">
              <w:rPr>
                <w:rStyle w:val="Strong"/>
                <w:b w:val="0"/>
                <w:i/>
              </w:rPr>
              <w:t>As a team, note exceptions and contraindications to the treatment or medications.</w:t>
            </w:r>
          </w:p>
        </w:tc>
        <w:tc>
          <w:tcPr>
            <w:tcW w:w="859" w:type="pct"/>
            <w:hideMark/>
          </w:tcPr>
          <w:p w14:paraId="79AF44FB" w14:textId="1DF08202" w:rsidR="00F50278" w:rsidRPr="00E60BDE" w:rsidRDefault="00AA140E" w:rsidP="00E60BDE">
            <w:pPr>
              <w:pStyle w:val="TableParagraph"/>
              <w:rPr>
                <w:rStyle w:val="Strong"/>
              </w:rPr>
            </w:pPr>
            <w:r>
              <w:rPr>
                <w:rStyle w:val="Strong"/>
              </w:rPr>
              <w:t xml:space="preserve">Other Available Resources </w:t>
            </w:r>
            <w:r w:rsidR="003A5081">
              <w:rPr>
                <w:rStyle w:val="Strong"/>
              </w:rPr>
              <w:t>and</w:t>
            </w:r>
            <w:r>
              <w:rPr>
                <w:rStyle w:val="Strong"/>
              </w:rPr>
              <w:t xml:space="preserve"> Tips </w:t>
            </w:r>
            <w:r w:rsidR="003A5081">
              <w:rPr>
                <w:rStyle w:val="Strong"/>
              </w:rPr>
              <w:t>T</w:t>
            </w:r>
            <w:r>
              <w:rPr>
                <w:rStyle w:val="Strong"/>
              </w:rPr>
              <w:t>o Consider</w:t>
            </w:r>
          </w:p>
        </w:tc>
        <w:tc>
          <w:tcPr>
            <w:tcW w:w="701" w:type="pct"/>
            <w:hideMark/>
          </w:tcPr>
          <w:p w14:paraId="53F64133" w14:textId="77777777" w:rsidR="0019570D" w:rsidRPr="009F40B9" w:rsidRDefault="0019570D" w:rsidP="0019570D">
            <w:pPr>
              <w:pStyle w:val="TableParagraph"/>
              <w:rPr>
                <w:rStyle w:val="Strong"/>
              </w:rPr>
            </w:pPr>
            <w:r w:rsidRPr="009F40B9">
              <w:rPr>
                <w:rStyle w:val="Strong"/>
              </w:rPr>
              <w:t>ISCR Measures</w:t>
            </w:r>
          </w:p>
          <w:p w14:paraId="293030A6" w14:textId="77777777" w:rsidR="00F50278" w:rsidRPr="00E60BDE" w:rsidRDefault="0019570D" w:rsidP="0019570D">
            <w:pPr>
              <w:pStyle w:val="TableParagraph"/>
              <w:rPr>
                <w:rStyle w:val="Strong"/>
              </w:rPr>
            </w:pPr>
            <w:r w:rsidRPr="009F40B9">
              <w:rPr>
                <w:rStyle w:val="Strong"/>
                <w:b w:val="0"/>
                <w:i/>
              </w:rPr>
              <w:t>As a team, decide on specific and standardized measures you can track at your hospital. It may be helpful to record your definitions here.</w:t>
            </w:r>
          </w:p>
        </w:tc>
      </w:tr>
      <w:tr w:rsidR="00F50278" w:rsidRPr="00AE595D" w14:paraId="5A1F7C22" w14:textId="77777777" w:rsidTr="00F746A8">
        <w:trPr>
          <w:cantSplit/>
          <w:trHeight w:val="640"/>
        </w:trPr>
        <w:tc>
          <w:tcPr>
            <w:tcW w:w="412" w:type="pct"/>
          </w:tcPr>
          <w:p w14:paraId="480DE8A0" w14:textId="77777777" w:rsidR="00F50278" w:rsidRPr="00526834" w:rsidRDefault="00F50278" w:rsidP="00216814">
            <w:pPr>
              <w:pStyle w:val="TableParagraph"/>
              <w:rPr>
                <w:b/>
              </w:rPr>
            </w:pPr>
            <w:r w:rsidRPr="00526834">
              <w:rPr>
                <w:b/>
              </w:rPr>
              <w:t>Emergency General Surgery</w:t>
            </w:r>
            <w:r w:rsidR="00B00577">
              <w:rPr>
                <w:b/>
              </w:rPr>
              <w:t>:</w:t>
            </w:r>
            <w:r w:rsidRPr="00526834">
              <w:rPr>
                <w:b/>
              </w:rPr>
              <w:t xml:space="preserve"> Major Abdominal Surgery</w:t>
            </w:r>
          </w:p>
          <w:p w14:paraId="58A22E05" w14:textId="77777777" w:rsidR="00F50278" w:rsidRPr="00526834" w:rsidRDefault="00F50278" w:rsidP="00216814">
            <w:pPr>
              <w:pStyle w:val="TableParagraph"/>
              <w:rPr>
                <w:b/>
              </w:rPr>
            </w:pPr>
          </w:p>
        </w:tc>
        <w:tc>
          <w:tcPr>
            <w:tcW w:w="410" w:type="pct"/>
          </w:tcPr>
          <w:p w14:paraId="60CC653C" w14:textId="77777777" w:rsidR="00F50278" w:rsidRPr="00526834" w:rsidRDefault="00846FE4" w:rsidP="00216814">
            <w:pPr>
              <w:pStyle w:val="TableParagraph"/>
              <w:rPr>
                <w:b/>
              </w:rPr>
            </w:pPr>
            <w:r w:rsidRPr="00526834">
              <w:rPr>
                <w:b/>
              </w:rPr>
              <w:t>Postoperative Antibiotics</w:t>
            </w:r>
          </w:p>
        </w:tc>
        <w:tc>
          <w:tcPr>
            <w:tcW w:w="1817" w:type="pct"/>
            <w:shd w:val="clear" w:color="auto" w:fill="auto"/>
          </w:tcPr>
          <w:p w14:paraId="1C548C76" w14:textId="77777777" w:rsidR="00846FE4" w:rsidRPr="00526834" w:rsidRDefault="00846FE4" w:rsidP="00526834">
            <w:pPr>
              <w:pStyle w:val="TableParagraph"/>
              <w:spacing w:after="120" w:line="240" w:lineRule="auto"/>
              <w:rPr>
                <w:b/>
                <w:color w:val="000000"/>
              </w:rPr>
            </w:pPr>
            <w:r w:rsidRPr="00526834">
              <w:rPr>
                <w:b/>
                <w:color w:val="000000"/>
              </w:rPr>
              <w:t>Recommended approach:</w:t>
            </w:r>
          </w:p>
          <w:p w14:paraId="729D404A" w14:textId="77777777" w:rsidR="00F50278" w:rsidRPr="00AE595D" w:rsidRDefault="00846FE4" w:rsidP="00216814">
            <w:pPr>
              <w:pStyle w:val="Bullet1"/>
            </w:pPr>
            <w:r w:rsidRPr="00AE595D">
              <w:t>Patients with complicated intrabdominal infections should not receive more than 4 days of antibiotics following adequate source control.</w:t>
            </w:r>
            <w:r w:rsidR="001B6B20" w:rsidRPr="001B6B20">
              <w:rPr>
                <w:vertAlign w:val="superscript"/>
              </w:rPr>
              <w:t>1</w:t>
            </w:r>
          </w:p>
        </w:tc>
        <w:tc>
          <w:tcPr>
            <w:tcW w:w="800" w:type="pct"/>
          </w:tcPr>
          <w:p w14:paraId="15B84448" w14:textId="48F2B45B" w:rsidR="00F50278" w:rsidRPr="00AE595D" w:rsidRDefault="00C2156C" w:rsidP="00216814">
            <w:pPr>
              <w:pStyle w:val="TableParagraph"/>
              <w:rPr>
                <w:color w:val="000000"/>
              </w:rPr>
            </w:pPr>
            <w:r w:rsidRPr="007C7841">
              <w:rPr>
                <w:rFonts w:eastAsia="Times New Roman" w:cs="Times New Roman"/>
                <w:i/>
                <w:color w:val="000000"/>
              </w:rPr>
              <w:t xml:space="preserve">Enter </w:t>
            </w:r>
            <w:r w:rsidR="003A5081">
              <w:rPr>
                <w:rFonts w:eastAsia="Times New Roman" w:cs="Times New Roman"/>
                <w:i/>
                <w:color w:val="000000"/>
              </w:rPr>
              <w:t xml:space="preserve">team decisions/notes </w:t>
            </w:r>
            <w:r w:rsidRPr="007C7841">
              <w:rPr>
                <w:rFonts w:eastAsia="Times New Roman" w:cs="Times New Roman"/>
                <w:i/>
                <w:color w:val="000000"/>
              </w:rPr>
              <w:t>here</w:t>
            </w:r>
          </w:p>
        </w:tc>
        <w:tc>
          <w:tcPr>
            <w:tcW w:w="859" w:type="pct"/>
          </w:tcPr>
          <w:p w14:paraId="59203920" w14:textId="2EB85747" w:rsidR="00F50278" w:rsidRPr="00AE595D" w:rsidRDefault="003023A5" w:rsidP="00216814">
            <w:pPr>
              <w:pStyle w:val="TableParagraph"/>
              <w:rPr>
                <w:color w:val="000000"/>
              </w:rPr>
            </w:pPr>
            <w:r>
              <w:rPr>
                <w:b/>
                <w:color w:val="000000"/>
              </w:rPr>
              <w:t>Tip</w:t>
            </w:r>
            <w:r w:rsidR="00846FE4" w:rsidRPr="00216814">
              <w:rPr>
                <w:b/>
                <w:color w:val="000000"/>
              </w:rPr>
              <w:t>:</w:t>
            </w:r>
            <w:r w:rsidR="00846FE4" w:rsidRPr="00AE595D">
              <w:rPr>
                <w:color w:val="000000"/>
              </w:rPr>
              <w:t xml:space="preserve"> Standardize order sets to include antibiotic courses no longer than </w:t>
            </w:r>
            <w:r w:rsidR="003A5081">
              <w:rPr>
                <w:color w:val="000000"/>
              </w:rPr>
              <w:t>4</w:t>
            </w:r>
            <w:r w:rsidR="00846FE4" w:rsidRPr="00AE595D">
              <w:rPr>
                <w:color w:val="000000"/>
              </w:rPr>
              <w:t xml:space="preserve"> days.</w:t>
            </w:r>
          </w:p>
        </w:tc>
        <w:tc>
          <w:tcPr>
            <w:tcW w:w="701" w:type="pct"/>
          </w:tcPr>
          <w:p w14:paraId="443C5897" w14:textId="75A048CA" w:rsidR="00F50278" w:rsidRPr="00AE595D" w:rsidRDefault="00CB6C14" w:rsidP="00216814">
            <w:pPr>
              <w:pStyle w:val="TableParagraph"/>
              <w:rPr>
                <w:color w:val="000000"/>
              </w:rPr>
            </w:pPr>
            <w:r w:rsidRPr="007C7841">
              <w:rPr>
                <w:rFonts w:eastAsia="Times New Roman" w:cs="Times New Roman"/>
                <w:i/>
                <w:color w:val="000000"/>
              </w:rPr>
              <w:t xml:space="preserve">Enter </w:t>
            </w:r>
            <w:r w:rsidR="003A5081">
              <w:rPr>
                <w:rFonts w:eastAsia="Times New Roman" w:cs="Times New Roman"/>
                <w:i/>
                <w:color w:val="000000"/>
              </w:rPr>
              <w:t xml:space="preserve">ISCR measures </w:t>
            </w:r>
            <w:r w:rsidRPr="007C7841">
              <w:rPr>
                <w:rFonts w:eastAsia="Times New Roman" w:cs="Times New Roman"/>
                <w:i/>
                <w:color w:val="000000"/>
              </w:rPr>
              <w:t>here</w:t>
            </w:r>
          </w:p>
        </w:tc>
      </w:tr>
      <w:tr w:rsidR="00F50278" w:rsidRPr="00AE595D" w14:paraId="4530030E" w14:textId="77777777" w:rsidTr="00F746A8">
        <w:trPr>
          <w:cantSplit/>
          <w:trHeight w:val="640"/>
        </w:trPr>
        <w:tc>
          <w:tcPr>
            <w:tcW w:w="412" w:type="pct"/>
          </w:tcPr>
          <w:p w14:paraId="04EA180B" w14:textId="77777777" w:rsidR="00F50278" w:rsidRPr="00526834" w:rsidRDefault="00F50278" w:rsidP="00216814">
            <w:pPr>
              <w:pStyle w:val="TableParagraph"/>
              <w:rPr>
                <w:b/>
              </w:rPr>
            </w:pPr>
            <w:r w:rsidRPr="00526834">
              <w:rPr>
                <w:b/>
              </w:rPr>
              <w:t>Emergency General Surgery: Appendectomy and Cholecystectomy</w:t>
            </w:r>
          </w:p>
        </w:tc>
        <w:tc>
          <w:tcPr>
            <w:tcW w:w="410" w:type="pct"/>
          </w:tcPr>
          <w:p w14:paraId="23A922DB" w14:textId="77777777" w:rsidR="00F50278" w:rsidRPr="00526834" w:rsidRDefault="00F50278" w:rsidP="00216814">
            <w:pPr>
              <w:pStyle w:val="TableParagraph"/>
              <w:rPr>
                <w:b/>
              </w:rPr>
            </w:pPr>
            <w:r w:rsidRPr="00526834">
              <w:rPr>
                <w:b/>
              </w:rPr>
              <w:t>Postoperative Antibiotics</w:t>
            </w:r>
          </w:p>
        </w:tc>
        <w:tc>
          <w:tcPr>
            <w:tcW w:w="1817" w:type="pct"/>
            <w:shd w:val="clear" w:color="auto" w:fill="auto"/>
          </w:tcPr>
          <w:p w14:paraId="2AAB02A0" w14:textId="77777777" w:rsidR="00F50278" w:rsidRPr="00AE595D" w:rsidRDefault="00F50278" w:rsidP="00216814">
            <w:pPr>
              <w:pStyle w:val="TableParagraph"/>
              <w:rPr>
                <w:color w:val="000000"/>
              </w:rPr>
            </w:pPr>
            <w:r w:rsidRPr="00AE595D">
              <w:rPr>
                <w:color w:val="000000"/>
              </w:rPr>
              <w:t>Appendectomy</w:t>
            </w:r>
          </w:p>
          <w:p w14:paraId="7D909082" w14:textId="77777777" w:rsidR="00F50278" w:rsidRPr="00AE595D" w:rsidRDefault="00F50278" w:rsidP="00216814">
            <w:pPr>
              <w:pStyle w:val="Bullet1"/>
            </w:pPr>
            <w:r w:rsidRPr="00AE595D">
              <w:t>Patients with acute and gangrenous appendicitis should not receive postop antibiotics</w:t>
            </w:r>
          </w:p>
          <w:p w14:paraId="2E04CA02" w14:textId="77777777" w:rsidR="00F50278" w:rsidRPr="00AE595D" w:rsidRDefault="00F50278" w:rsidP="00216814">
            <w:pPr>
              <w:pStyle w:val="Bullet1"/>
            </w:pPr>
            <w:r w:rsidRPr="00AE595D">
              <w:t>Patients with perforated appendicitis should receive postop antibiotics for 96 hours following adequate source control</w:t>
            </w:r>
            <w:r w:rsidR="00520F1B" w:rsidRPr="00AE595D">
              <w:t>.</w:t>
            </w:r>
            <w:r w:rsidR="00631834" w:rsidRPr="001B6B20">
              <w:rPr>
                <w:vertAlign w:val="superscript"/>
              </w:rPr>
              <w:t>1</w:t>
            </w:r>
          </w:p>
          <w:p w14:paraId="08C66F18" w14:textId="77777777" w:rsidR="00F50278" w:rsidRPr="00AE595D" w:rsidRDefault="00F50278" w:rsidP="00216814">
            <w:pPr>
              <w:pStyle w:val="TableParagraph"/>
              <w:rPr>
                <w:color w:val="000000"/>
              </w:rPr>
            </w:pPr>
            <w:r w:rsidRPr="00AE595D">
              <w:rPr>
                <w:color w:val="000000"/>
              </w:rPr>
              <w:t>Cholecystectomy</w:t>
            </w:r>
          </w:p>
          <w:p w14:paraId="3FA0A052" w14:textId="080CC87A" w:rsidR="00F50278" w:rsidRPr="00AE595D" w:rsidRDefault="00F50278" w:rsidP="00216814">
            <w:pPr>
              <w:pStyle w:val="Bullet1"/>
            </w:pPr>
            <w:r w:rsidRPr="00AE595D">
              <w:t>No antibiotics should be given after the patient leaves the operating room</w:t>
            </w:r>
          </w:p>
        </w:tc>
        <w:tc>
          <w:tcPr>
            <w:tcW w:w="800" w:type="pct"/>
          </w:tcPr>
          <w:p w14:paraId="103330E6" w14:textId="27C250AB" w:rsidR="00F50278" w:rsidRPr="00AE595D" w:rsidRDefault="00C2156C" w:rsidP="00216814">
            <w:pPr>
              <w:pStyle w:val="TableParagraph"/>
              <w:rPr>
                <w:color w:val="000000"/>
              </w:rPr>
            </w:pPr>
            <w:r w:rsidRPr="007C7841">
              <w:rPr>
                <w:rFonts w:eastAsia="Times New Roman" w:cs="Times New Roman"/>
                <w:i/>
                <w:color w:val="000000"/>
              </w:rPr>
              <w:t xml:space="preserve">Enter </w:t>
            </w:r>
            <w:r w:rsidR="003A5081">
              <w:rPr>
                <w:rFonts w:eastAsia="Times New Roman" w:cs="Times New Roman"/>
                <w:i/>
                <w:color w:val="000000"/>
              </w:rPr>
              <w:t xml:space="preserve">team decisions/notes </w:t>
            </w:r>
            <w:r w:rsidRPr="007C7841">
              <w:rPr>
                <w:rFonts w:eastAsia="Times New Roman" w:cs="Times New Roman"/>
                <w:i/>
                <w:color w:val="000000"/>
              </w:rPr>
              <w:t>here</w:t>
            </w:r>
          </w:p>
        </w:tc>
        <w:tc>
          <w:tcPr>
            <w:tcW w:w="859" w:type="pct"/>
          </w:tcPr>
          <w:p w14:paraId="16E7A97F" w14:textId="70F8FC62" w:rsidR="00F50278" w:rsidRPr="00AE595D" w:rsidRDefault="003023A5" w:rsidP="00216814">
            <w:pPr>
              <w:pStyle w:val="TableParagraph"/>
              <w:rPr>
                <w:color w:val="000000"/>
              </w:rPr>
            </w:pPr>
            <w:r>
              <w:rPr>
                <w:b/>
                <w:color w:val="000000"/>
              </w:rPr>
              <w:t>Tip</w:t>
            </w:r>
            <w:r w:rsidR="00F50278" w:rsidRPr="00216814">
              <w:rPr>
                <w:b/>
                <w:color w:val="000000"/>
              </w:rPr>
              <w:t>:</w:t>
            </w:r>
            <w:r w:rsidR="00F50278" w:rsidRPr="00AE595D">
              <w:rPr>
                <w:color w:val="000000"/>
              </w:rPr>
              <w:t xml:space="preserve"> Standardize order sets to include antibiotic courses no longer than </w:t>
            </w:r>
            <w:r w:rsidR="003A5081">
              <w:rPr>
                <w:color w:val="000000"/>
              </w:rPr>
              <w:t>4</w:t>
            </w:r>
            <w:r w:rsidR="00F50278" w:rsidRPr="00AE595D">
              <w:rPr>
                <w:color w:val="000000"/>
              </w:rPr>
              <w:t xml:space="preserve"> in patients with perforated appendicitis</w:t>
            </w:r>
            <w:r w:rsidR="00751BF9">
              <w:rPr>
                <w:color w:val="000000"/>
              </w:rPr>
              <w:t>.</w:t>
            </w:r>
          </w:p>
        </w:tc>
        <w:tc>
          <w:tcPr>
            <w:tcW w:w="701" w:type="pct"/>
          </w:tcPr>
          <w:p w14:paraId="505E1A9E" w14:textId="7707439A" w:rsidR="00F50278" w:rsidRPr="00AE595D" w:rsidRDefault="00CB6C14" w:rsidP="00216814">
            <w:pPr>
              <w:pStyle w:val="TableParagraph"/>
              <w:rPr>
                <w:color w:val="000000"/>
              </w:rPr>
            </w:pPr>
            <w:r w:rsidRPr="007C7841">
              <w:rPr>
                <w:rFonts w:eastAsia="Times New Roman" w:cs="Times New Roman"/>
                <w:i/>
                <w:color w:val="000000"/>
              </w:rPr>
              <w:t xml:space="preserve">Enter </w:t>
            </w:r>
            <w:r w:rsidR="003A5081">
              <w:rPr>
                <w:rFonts w:eastAsia="Times New Roman" w:cs="Times New Roman"/>
                <w:i/>
                <w:color w:val="000000"/>
              </w:rPr>
              <w:t xml:space="preserve">ISCR measures </w:t>
            </w:r>
            <w:r w:rsidRPr="007C7841">
              <w:rPr>
                <w:rFonts w:eastAsia="Times New Roman" w:cs="Times New Roman"/>
                <w:i/>
                <w:color w:val="000000"/>
              </w:rPr>
              <w:t>here</w:t>
            </w:r>
          </w:p>
        </w:tc>
      </w:tr>
    </w:tbl>
    <w:p w14:paraId="2044E312" w14:textId="0DC7F419" w:rsidR="003A5081" w:rsidRDefault="003A5081" w:rsidP="00AE595D">
      <w:pPr>
        <w:spacing w:after="120" w:line="240" w:lineRule="auto"/>
        <w:rPr>
          <w:rFonts w:eastAsia="Times New Roman" w:cs="Times New Roman"/>
          <w:bCs/>
          <w:color w:val="000000"/>
        </w:rPr>
      </w:pPr>
      <w:r w:rsidRPr="00AE595D">
        <w:t>Abbreviations:</w:t>
      </w:r>
      <w:r>
        <w:t xml:space="preserve"> ISCR = Improving Surgical Care and Recovery</w:t>
      </w:r>
    </w:p>
    <w:p w14:paraId="270C7672" w14:textId="6CB96AD8" w:rsidR="00605B85" w:rsidRPr="00AE595D" w:rsidRDefault="00631834" w:rsidP="00AE595D">
      <w:pPr>
        <w:spacing w:after="120" w:line="240" w:lineRule="auto"/>
        <w:rPr>
          <w:rFonts w:eastAsia="Times New Roman" w:cs="Times New Roman"/>
          <w:b/>
          <w:bCs/>
          <w:color w:val="000000"/>
        </w:rPr>
      </w:pPr>
      <w:r w:rsidRPr="00F746A8">
        <w:rPr>
          <w:rFonts w:eastAsia="Times New Roman" w:cs="Times New Roman"/>
          <w:bCs/>
          <w:color w:val="000000"/>
        </w:rPr>
        <w:t>1</w:t>
      </w:r>
      <w:r w:rsidRPr="00AE595D">
        <w:rPr>
          <w:rFonts w:eastAsia="Times New Roman" w:cs="Times New Roman"/>
          <w:bCs/>
          <w:color w:val="000000"/>
        </w:rPr>
        <w:t xml:space="preserve"> </w:t>
      </w:r>
      <w:proofErr w:type="spellStart"/>
      <w:r w:rsidR="0078326A" w:rsidRPr="0078326A">
        <w:rPr>
          <w:rFonts w:eastAsia="Times New Roman" w:cs="Times New Roman"/>
          <w:bCs/>
          <w:color w:val="000000"/>
        </w:rPr>
        <w:t>Sartelli</w:t>
      </w:r>
      <w:proofErr w:type="spellEnd"/>
      <w:r w:rsidR="0078326A" w:rsidRPr="0078326A">
        <w:rPr>
          <w:rFonts w:eastAsia="Times New Roman" w:cs="Times New Roman"/>
          <w:bCs/>
          <w:color w:val="000000"/>
        </w:rPr>
        <w:t xml:space="preserve"> M, </w:t>
      </w:r>
      <w:proofErr w:type="spellStart"/>
      <w:r w:rsidR="0078326A" w:rsidRPr="0078326A">
        <w:rPr>
          <w:rFonts w:eastAsia="Times New Roman" w:cs="Times New Roman"/>
          <w:bCs/>
          <w:color w:val="000000"/>
        </w:rPr>
        <w:t>Coccolini</w:t>
      </w:r>
      <w:proofErr w:type="spellEnd"/>
      <w:r w:rsidR="0078326A" w:rsidRPr="0078326A">
        <w:rPr>
          <w:rFonts w:eastAsia="Times New Roman" w:cs="Times New Roman"/>
          <w:bCs/>
          <w:color w:val="000000"/>
        </w:rPr>
        <w:t xml:space="preserve"> F, Kluger Y,</w:t>
      </w:r>
      <w:r w:rsidR="00631A3F">
        <w:rPr>
          <w:rFonts w:eastAsia="Times New Roman" w:cs="Times New Roman"/>
          <w:bCs/>
          <w:color w:val="000000"/>
        </w:rPr>
        <w:t xml:space="preserve"> </w:t>
      </w:r>
      <w:r w:rsidRPr="00AE595D">
        <w:rPr>
          <w:rFonts w:eastAsia="Times New Roman" w:cs="Times New Roman"/>
          <w:bCs/>
          <w:color w:val="000000"/>
        </w:rPr>
        <w:t xml:space="preserve">et al. </w:t>
      </w:r>
      <w:r w:rsidR="00631A3F" w:rsidRPr="00631A3F">
        <w:rPr>
          <w:rFonts w:eastAsia="Times New Roman" w:cs="Times New Roman"/>
          <w:bCs/>
          <w:color w:val="000000"/>
        </w:rPr>
        <w:t xml:space="preserve">WSES/GAIS/SIS-E/WSIS/AAST global clinical pathways for patients with intra-abdominal infections. World J </w:t>
      </w:r>
      <w:proofErr w:type="spellStart"/>
      <w:r w:rsidR="00631A3F" w:rsidRPr="00631A3F">
        <w:rPr>
          <w:rFonts w:eastAsia="Times New Roman" w:cs="Times New Roman"/>
          <w:bCs/>
          <w:color w:val="000000"/>
        </w:rPr>
        <w:t>Emerg</w:t>
      </w:r>
      <w:proofErr w:type="spellEnd"/>
      <w:r w:rsidR="00631A3F" w:rsidRPr="00631A3F">
        <w:rPr>
          <w:rFonts w:eastAsia="Times New Roman" w:cs="Times New Roman"/>
          <w:bCs/>
          <w:color w:val="000000"/>
        </w:rPr>
        <w:t xml:space="preserve"> Surg. 2021 Sep 25;16(1):49. </w:t>
      </w:r>
      <w:proofErr w:type="spellStart"/>
      <w:r w:rsidR="00631A3F" w:rsidRPr="00631A3F">
        <w:rPr>
          <w:rFonts w:eastAsia="Times New Roman" w:cs="Times New Roman"/>
          <w:bCs/>
          <w:color w:val="000000"/>
        </w:rPr>
        <w:t>doi</w:t>
      </w:r>
      <w:proofErr w:type="spellEnd"/>
      <w:r w:rsidR="00631A3F" w:rsidRPr="00631A3F">
        <w:rPr>
          <w:rFonts w:eastAsia="Times New Roman" w:cs="Times New Roman"/>
          <w:bCs/>
          <w:color w:val="000000"/>
        </w:rPr>
        <w:t>: 10.1186/s13017-021-00387-8. PMID: 34563232; PMCID: PMC8467193.</w:t>
      </w:r>
    </w:p>
    <w:p w14:paraId="2428CC5B" w14:textId="77777777" w:rsidR="001B6B20" w:rsidRDefault="001B6B20">
      <w:pPr>
        <w:spacing w:after="160" w:line="259" w:lineRule="auto"/>
        <w:ind w:left="360" w:hanging="360"/>
        <w:rPr>
          <w:b/>
          <w:bCs/>
          <w:sz w:val="28"/>
          <w:szCs w:val="28"/>
        </w:rPr>
      </w:pPr>
      <w:bookmarkStart w:id="45" w:name="_Hlk111124698"/>
      <w:r>
        <w:br w:type="page"/>
      </w:r>
    </w:p>
    <w:p w14:paraId="4C3489D6" w14:textId="77777777" w:rsidR="00F50278" w:rsidRDefault="00605B85">
      <w:pPr>
        <w:pStyle w:val="Heading2"/>
      </w:pPr>
      <w:bookmarkStart w:id="46" w:name="_Toc117000823"/>
      <w:r w:rsidRPr="00AE595D">
        <w:lastRenderedPageBreak/>
        <w:t xml:space="preserve">Postoperative </w:t>
      </w:r>
      <w:r w:rsidR="00B4239C">
        <w:t>Discharge Pain Control</w:t>
      </w:r>
      <w:bookmarkEnd w:id="46"/>
    </w:p>
    <w:p w14:paraId="1698BB39" w14:textId="1AF72148" w:rsidR="00B4239C" w:rsidRPr="00AE595D" w:rsidRDefault="00B4239C" w:rsidP="00B4239C">
      <w:pPr>
        <w:pStyle w:val="BodyText1"/>
      </w:pPr>
      <w:r w:rsidRPr="00B4239C">
        <w:t>Multimodal pain control is recommended for all patients upon discharge from the hospital. Opioid-sparing regimens are recommended; patients may be appropriate for discharge from the hospital only on nonopioid pain medications.</w:t>
      </w:r>
    </w:p>
    <w:tbl>
      <w:tblPr>
        <w:tblStyle w:val="GridTable1Light1"/>
        <w:tblW w:w="5000" w:type="pct"/>
        <w:tblLook w:val="0600" w:firstRow="0" w:lastRow="0" w:firstColumn="0" w:lastColumn="0" w:noHBand="1" w:noVBand="1"/>
      </w:tblPr>
      <w:tblGrid>
        <w:gridCol w:w="3324"/>
        <w:gridCol w:w="3352"/>
        <w:gridCol w:w="5141"/>
        <w:gridCol w:w="3825"/>
        <w:gridCol w:w="3955"/>
        <w:gridCol w:w="3433"/>
      </w:tblGrid>
      <w:tr w:rsidR="00F50278" w:rsidRPr="00AE595D" w14:paraId="06B0C6F3" w14:textId="77777777" w:rsidTr="009C7C23">
        <w:trPr>
          <w:cantSplit/>
          <w:trHeight w:val="973"/>
          <w:tblHeader/>
        </w:trPr>
        <w:tc>
          <w:tcPr>
            <w:tcW w:w="0" w:type="pct"/>
            <w:hideMark/>
          </w:tcPr>
          <w:bookmarkEnd w:id="45"/>
          <w:p w14:paraId="7C53436F" w14:textId="3A95A0A9" w:rsidR="00F50278" w:rsidRPr="00AE595D" w:rsidRDefault="00F50278" w:rsidP="00AE595D">
            <w:pPr>
              <w:spacing w:after="120" w:line="240" w:lineRule="auto"/>
              <w:ind w:left="150"/>
            </w:pPr>
            <w:r w:rsidRPr="00AE595D">
              <w:rPr>
                <w:b/>
                <w:bCs/>
              </w:rPr>
              <w:t xml:space="preserve">Pathway </w:t>
            </w:r>
          </w:p>
        </w:tc>
        <w:tc>
          <w:tcPr>
            <w:tcW w:w="0" w:type="pct"/>
            <w:hideMark/>
          </w:tcPr>
          <w:p w14:paraId="214EEF57" w14:textId="77777777" w:rsidR="00F50278" w:rsidRPr="00AE595D" w:rsidRDefault="00F50278" w:rsidP="00AE595D">
            <w:pPr>
              <w:spacing w:after="120" w:line="240" w:lineRule="auto"/>
              <w:rPr>
                <w:b/>
                <w:bCs/>
              </w:rPr>
            </w:pPr>
            <w:r w:rsidRPr="00AE595D">
              <w:rPr>
                <w:b/>
                <w:bCs/>
              </w:rPr>
              <w:t>Component</w:t>
            </w:r>
          </w:p>
        </w:tc>
        <w:tc>
          <w:tcPr>
            <w:tcW w:w="0" w:type="pct"/>
            <w:hideMark/>
          </w:tcPr>
          <w:p w14:paraId="6C409360" w14:textId="7E49CB97" w:rsidR="00526834" w:rsidRDefault="00F50278" w:rsidP="00AE595D">
            <w:pPr>
              <w:spacing w:after="120" w:line="240" w:lineRule="auto"/>
              <w:rPr>
                <w:b/>
                <w:bCs/>
              </w:rPr>
            </w:pPr>
            <w:r w:rsidRPr="00AE595D">
              <w:rPr>
                <w:b/>
                <w:bCs/>
              </w:rPr>
              <w:t xml:space="preserve">Example Processes </w:t>
            </w:r>
            <w:r w:rsidR="00F51D65">
              <w:rPr>
                <w:b/>
                <w:bCs/>
              </w:rPr>
              <w:t>T</w:t>
            </w:r>
            <w:r w:rsidRPr="00AE595D">
              <w:rPr>
                <w:b/>
                <w:bCs/>
              </w:rPr>
              <w:t>o Consider</w:t>
            </w:r>
          </w:p>
          <w:p w14:paraId="0462C19D" w14:textId="77777777" w:rsidR="00F50278" w:rsidRPr="00526834" w:rsidRDefault="00F50278" w:rsidP="00AE595D">
            <w:pPr>
              <w:spacing w:after="120" w:line="240" w:lineRule="auto"/>
              <w:rPr>
                <w:i/>
              </w:rPr>
            </w:pPr>
            <w:r w:rsidRPr="00526834">
              <w:rPr>
                <w:bCs/>
                <w:i/>
              </w:rPr>
              <w:t>As a team, go through each component and discuss what approach best fits your hospital. It may be an option other than what is listed below.</w:t>
            </w:r>
          </w:p>
        </w:tc>
        <w:tc>
          <w:tcPr>
            <w:tcW w:w="0" w:type="pct"/>
            <w:hideMark/>
          </w:tcPr>
          <w:p w14:paraId="5BAA61B3" w14:textId="77777777" w:rsidR="00F50278" w:rsidRPr="00AE595D" w:rsidRDefault="00F50278" w:rsidP="00AE595D">
            <w:pPr>
              <w:spacing w:after="120" w:line="240" w:lineRule="auto"/>
            </w:pPr>
            <w:r w:rsidRPr="00AE595D">
              <w:rPr>
                <w:b/>
                <w:bCs/>
              </w:rPr>
              <w:t>Team Decisions/Notes</w:t>
            </w:r>
          </w:p>
          <w:p w14:paraId="3272FCAD" w14:textId="77777777" w:rsidR="00F50278" w:rsidRPr="00526834" w:rsidRDefault="00F50278" w:rsidP="00AE595D">
            <w:pPr>
              <w:spacing w:after="120" w:line="240" w:lineRule="auto"/>
              <w:rPr>
                <w:i/>
              </w:rPr>
            </w:pPr>
            <w:r w:rsidRPr="00526834">
              <w:rPr>
                <w:bCs/>
                <w:i/>
              </w:rPr>
              <w:t>As a team, note exceptions and contraindications to the treatment or medications.</w:t>
            </w:r>
          </w:p>
        </w:tc>
        <w:tc>
          <w:tcPr>
            <w:tcW w:w="0" w:type="pct"/>
            <w:hideMark/>
          </w:tcPr>
          <w:p w14:paraId="00543ADD" w14:textId="5535198B" w:rsidR="00F50278" w:rsidRPr="00AE595D" w:rsidRDefault="00AA140E" w:rsidP="00AE595D">
            <w:pPr>
              <w:spacing w:after="120" w:line="240" w:lineRule="auto"/>
            </w:pPr>
            <w:r>
              <w:rPr>
                <w:b/>
                <w:bCs/>
              </w:rPr>
              <w:t xml:space="preserve">Other Available Resources </w:t>
            </w:r>
            <w:r w:rsidR="00F51D65">
              <w:rPr>
                <w:b/>
                <w:bCs/>
              </w:rPr>
              <w:t>and</w:t>
            </w:r>
            <w:r>
              <w:rPr>
                <w:b/>
                <w:bCs/>
              </w:rPr>
              <w:t xml:space="preserve"> Tips </w:t>
            </w:r>
            <w:r w:rsidR="00F51D65">
              <w:rPr>
                <w:b/>
                <w:bCs/>
              </w:rPr>
              <w:t>T</w:t>
            </w:r>
            <w:r>
              <w:rPr>
                <w:b/>
                <w:bCs/>
              </w:rPr>
              <w:t>o Consider</w:t>
            </w:r>
          </w:p>
        </w:tc>
        <w:tc>
          <w:tcPr>
            <w:tcW w:w="0" w:type="pct"/>
            <w:hideMark/>
          </w:tcPr>
          <w:p w14:paraId="3A62E4BC" w14:textId="77777777" w:rsidR="0019570D" w:rsidRPr="009F40B9" w:rsidRDefault="0019570D" w:rsidP="0019570D">
            <w:pPr>
              <w:pStyle w:val="TableParagraph"/>
              <w:rPr>
                <w:rStyle w:val="Strong"/>
              </w:rPr>
            </w:pPr>
            <w:r w:rsidRPr="009F40B9">
              <w:rPr>
                <w:rStyle w:val="Strong"/>
              </w:rPr>
              <w:t>ISCR Measures</w:t>
            </w:r>
          </w:p>
          <w:p w14:paraId="7EEDDFD4" w14:textId="77777777" w:rsidR="00F50278" w:rsidRPr="00AE595D" w:rsidRDefault="0019570D" w:rsidP="0019570D">
            <w:pPr>
              <w:spacing w:after="120" w:line="240" w:lineRule="auto"/>
            </w:pPr>
            <w:r w:rsidRPr="009F40B9">
              <w:rPr>
                <w:rStyle w:val="Strong"/>
                <w:b w:val="0"/>
                <w:i/>
              </w:rPr>
              <w:t>As a team, decide on specific and standardized measures you can track at your hospital. It may be helpful to record your definitions here.</w:t>
            </w:r>
          </w:p>
        </w:tc>
      </w:tr>
      <w:tr w:rsidR="00F50278" w:rsidRPr="00AE595D" w14:paraId="5647760C" w14:textId="77777777" w:rsidTr="009C7C23">
        <w:trPr>
          <w:cantSplit/>
          <w:trHeight w:val="640"/>
        </w:trPr>
        <w:tc>
          <w:tcPr>
            <w:tcW w:w="0" w:type="pct"/>
          </w:tcPr>
          <w:p w14:paraId="46CD005D" w14:textId="77777777" w:rsidR="00F50278" w:rsidRPr="00526834" w:rsidRDefault="00B1622A" w:rsidP="00B1622A">
            <w:pPr>
              <w:spacing w:after="120" w:line="240" w:lineRule="auto"/>
              <w:ind w:left="161"/>
              <w:rPr>
                <w:b/>
              </w:rPr>
            </w:pPr>
            <w:r w:rsidRPr="00526834">
              <w:rPr>
                <w:b/>
              </w:rPr>
              <w:t>All ISCR Pathways</w:t>
            </w:r>
          </w:p>
        </w:tc>
        <w:tc>
          <w:tcPr>
            <w:tcW w:w="0" w:type="pct"/>
          </w:tcPr>
          <w:p w14:paraId="4193D071" w14:textId="77777777" w:rsidR="00F50278" w:rsidRPr="00AE595D" w:rsidRDefault="00846FE4" w:rsidP="00AE595D">
            <w:pPr>
              <w:spacing w:after="120" w:line="240" w:lineRule="auto"/>
              <w:rPr>
                <w:b/>
                <w:bCs/>
              </w:rPr>
            </w:pPr>
            <w:r w:rsidRPr="00AE595D">
              <w:rPr>
                <w:b/>
                <w:bCs/>
              </w:rPr>
              <w:t>Discharge Pain Control</w:t>
            </w:r>
          </w:p>
        </w:tc>
        <w:tc>
          <w:tcPr>
            <w:tcW w:w="0" w:type="pct"/>
          </w:tcPr>
          <w:p w14:paraId="5EB06507" w14:textId="77777777" w:rsidR="00526834" w:rsidRPr="00526834" w:rsidRDefault="00526834" w:rsidP="00526834">
            <w:pPr>
              <w:spacing w:after="120" w:line="240" w:lineRule="auto"/>
              <w:rPr>
                <w:b/>
                <w:color w:val="000000"/>
              </w:rPr>
            </w:pPr>
            <w:r>
              <w:rPr>
                <w:b/>
                <w:color w:val="000000"/>
              </w:rPr>
              <w:t>Recommended approach:</w:t>
            </w:r>
          </w:p>
          <w:p w14:paraId="30209F8D" w14:textId="7121DDB5" w:rsidR="00846FE4" w:rsidRPr="00AE595D" w:rsidRDefault="00846FE4" w:rsidP="007F7E50">
            <w:pPr>
              <w:pStyle w:val="ListParagraph"/>
              <w:numPr>
                <w:ilvl w:val="0"/>
                <w:numId w:val="36"/>
              </w:numPr>
              <w:spacing w:after="120" w:line="240" w:lineRule="auto"/>
              <w:contextualSpacing w:val="0"/>
              <w:rPr>
                <w:b/>
                <w:color w:val="000000"/>
              </w:rPr>
            </w:pPr>
            <w:r w:rsidRPr="00AE595D">
              <w:rPr>
                <w:b/>
                <w:color w:val="000000"/>
              </w:rPr>
              <w:t>Nonopioid analgesics</w:t>
            </w:r>
          </w:p>
          <w:p w14:paraId="6E95AE2D" w14:textId="77777777" w:rsidR="00846FE4" w:rsidRPr="00AE595D" w:rsidRDefault="00846FE4" w:rsidP="00AE595D">
            <w:pPr>
              <w:pStyle w:val="ListParagraph"/>
              <w:spacing w:after="120" w:line="240" w:lineRule="auto"/>
              <w:contextualSpacing w:val="0"/>
              <w:rPr>
                <w:color w:val="000000"/>
              </w:rPr>
            </w:pPr>
            <w:r w:rsidRPr="00AE595D">
              <w:rPr>
                <w:color w:val="000000"/>
              </w:rPr>
              <w:t>Scheduled:</w:t>
            </w:r>
          </w:p>
          <w:p w14:paraId="7F47D8E6" w14:textId="77777777" w:rsidR="00846FE4" w:rsidRPr="00AE595D" w:rsidRDefault="00846FE4" w:rsidP="007F7E50">
            <w:pPr>
              <w:pStyle w:val="ListParagraph"/>
              <w:numPr>
                <w:ilvl w:val="1"/>
                <w:numId w:val="36"/>
              </w:numPr>
              <w:spacing w:after="120" w:line="240" w:lineRule="auto"/>
              <w:contextualSpacing w:val="0"/>
              <w:rPr>
                <w:color w:val="000000"/>
              </w:rPr>
            </w:pPr>
            <w:r w:rsidRPr="00AE595D">
              <w:rPr>
                <w:color w:val="000000"/>
              </w:rPr>
              <w:t xml:space="preserve">Acetaminophen </w:t>
            </w:r>
          </w:p>
          <w:p w14:paraId="0258E6C5" w14:textId="77777777" w:rsidR="00846FE4" w:rsidRPr="00AE595D" w:rsidRDefault="00846FE4" w:rsidP="00AE595D">
            <w:pPr>
              <w:pStyle w:val="ListParagraph"/>
              <w:spacing w:after="120" w:line="240" w:lineRule="auto"/>
              <w:contextualSpacing w:val="0"/>
              <w:rPr>
                <w:i/>
                <w:color w:val="000000"/>
              </w:rPr>
            </w:pPr>
            <w:r w:rsidRPr="00AE595D">
              <w:rPr>
                <w:i/>
                <w:color w:val="000000"/>
              </w:rPr>
              <w:t xml:space="preserve">              AND</w:t>
            </w:r>
          </w:p>
          <w:p w14:paraId="2799C6BF" w14:textId="77777777" w:rsidR="001B6B20" w:rsidRPr="001B6B20" w:rsidRDefault="00846FE4" w:rsidP="001B6B20">
            <w:pPr>
              <w:pStyle w:val="ListParagraph"/>
              <w:numPr>
                <w:ilvl w:val="1"/>
                <w:numId w:val="36"/>
              </w:numPr>
              <w:spacing w:after="120" w:line="240" w:lineRule="auto"/>
              <w:contextualSpacing w:val="0"/>
              <w:rPr>
                <w:i/>
                <w:color w:val="000000"/>
              </w:rPr>
            </w:pPr>
            <w:r w:rsidRPr="00AE595D">
              <w:rPr>
                <w:color w:val="000000"/>
              </w:rPr>
              <w:t>Nonsteroidal anti-inflammatory drug (e.g.</w:t>
            </w:r>
            <w:r w:rsidR="00751BF9">
              <w:rPr>
                <w:color w:val="000000"/>
              </w:rPr>
              <w:t>,</w:t>
            </w:r>
            <w:r w:rsidRPr="00AE595D">
              <w:rPr>
                <w:color w:val="000000"/>
              </w:rPr>
              <w:t xml:space="preserve"> Ibuprofen</w:t>
            </w:r>
            <w:r w:rsidR="001B6B20">
              <w:rPr>
                <w:color w:val="000000"/>
              </w:rPr>
              <w:t>)</w:t>
            </w:r>
          </w:p>
          <w:p w14:paraId="516A4330" w14:textId="77777777" w:rsidR="001B6B20" w:rsidRDefault="001B6B20" w:rsidP="001B6B20">
            <w:pPr>
              <w:spacing w:after="120" w:line="240" w:lineRule="auto"/>
              <w:rPr>
                <w:i/>
                <w:color w:val="000000"/>
              </w:rPr>
            </w:pPr>
          </w:p>
          <w:p w14:paraId="74A062F3" w14:textId="3B435E64" w:rsidR="00F50278" w:rsidRPr="001B6B20" w:rsidRDefault="00B1622A" w:rsidP="001B6B20">
            <w:pPr>
              <w:spacing w:after="120" w:line="240" w:lineRule="auto"/>
              <w:rPr>
                <w:i/>
                <w:color w:val="000000"/>
              </w:rPr>
            </w:pPr>
            <w:r w:rsidRPr="001B6B20">
              <w:rPr>
                <w:i/>
                <w:color w:val="000000"/>
              </w:rPr>
              <w:t>Note: if patient requires narcotics at discharge</w:t>
            </w:r>
            <w:r w:rsidR="00751BF9">
              <w:rPr>
                <w:i/>
                <w:color w:val="000000"/>
              </w:rPr>
              <w:t>,</w:t>
            </w:r>
            <w:r w:rsidR="00751BF9" w:rsidRPr="001B6B20">
              <w:rPr>
                <w:i/>
                <w:color w:val="000000"/>
              </w:rPr>
              <w:t xml:space="preserve"> reduce the quantity of opioids prescribed </w:t>
            </w:r>
            <w:r w:rsidR="00751BF9">
              <w:rPr>
                <w:i/>
                <w:color w:val="000000"/>
              </w:rPr>
              <w:t xml:space="preserve">then by </w:t>
            </w:r>
            <w:r w:rsidRPr="001B6B20">
              <w:rPr>
                <w:i/>
                <w:color w:val="000000"/>
              </w:rPr>
              <w:t>us</w:t>
            </w:r>
            <w:r w:rsidR="00751BF9">
              <w:rPr>
                <w:i/>
                <w:color w:val="000000"/>
              </w:rPr>
              <w:t>ing</w:t>
            </w:r>
            <w:r w:rsidRPr="001B6B20">
              <w:rPr>
                <w:i/>
                <w:color w:val="000000"/>
              </w:rPr>
              <w:t xml:space="preserve"> </w:t>
            </w:r>
            <w:r w:rsidR="0005083C" w:rsidRPr="001B6B20">
              <w:rPr>
                <w:i/>
                <w:color w:val="000000"/>
              </w:rPr>
              <w:t xml:space="preserve">a </w:t>
            </w:r>
            <w:r w:rsidRPr="001B6B20">
              <w:rPr>
                <w:i/>
                <w:color w:val="000000"/>
              </w:rPr>
              <w:t xml:space="preserve">standardized discharge </w:t>
            </w:r>
            <w:r w:rsidR="0005083C" w:rsidRPr="001B6B20">
              <w:rPr>
                <w:i/>
                <w:color w:val="000000"/>
              </w:rPr>
              <w:t>quantity of prescribed opioids</w:t>
            </w:r>
            <w:r w:rsidR="00520EE2" w:rsidRPr="001B6B20">
              <w:rPr>
                <w:i/>
                <w:color w:val="000000"/>
              </w:rPr>
              <w:t>,</w:t>
            </w:r>
            <w:r w:rsidR="00A433D7" w:rsidRPr="001B6B20">
              <w:rPr>
                <w:i/>
                <w:color w:val="000000"/>
              </w:rPr>
              <w:t xml:space="preserve"> based on </w:t>
            </w:r>
            <w:r w:rsidR="00520EE2" w:rsidRPr="001B6B20">
              <w:rPr>
                <w:i/>
                <w:color w:val="000000"/>
              </w:rPr>
              <w:t xml:space="preserve">patient and </w:t>
            </w:r>
            <w:r w:rsidR="00A433D7" w:rsidRPr="001B6B20">
              <w:rPr>
                <w:i/>
                <w:color w:val="000000"/>
              </w:rPr>
              <w:t>procedure-specific institutional practices</w:t>
            </w:r>
            <w:r w:rsidR="00F51D65">
              <w:rPr>
                <w:i/>
                <w:color w:val="000000"/>
              </w:rPr>
              <w:t>.</w:t>
            </w:r>
            <w:r w:rsidR="00520EE2" w:rsidRPr="001B6B20">
              <w:rPr>
                <w:i/>
                <w:color w:val="000000"/>
                <w:vertAlign w:val="superscript"/>
              </w:rPr>
              <w:t>1</w:t>
            </w:r>
            <w:r w:rsidR="0005083C" w:rsidRPr="001B6B20">
              <w:rPr>
                <w:i/>
                <w:color w:val="000000"/>
              </w:rPr>
              <w:t xml:space="preserve"> </w:t>
            </w:r>
          </w:p>
        </w:tc>
        <w:tc>
          <w:tcPr>
            <w:tcW w:w="0" w:type="pct"/>
          </w:tcPr>
          <w:p w14:paraId="4800EE4D" w14:textId="3EE7D098" w:rsidR="00F50278" w:rsidRPr="00AE595D" w:rsidRDefault="00C2156C" w:rsidP="00AE595D">
            <w:pPr>
              <w:spacing w:after="120" w:line="240" w:lineRule="auto"/>
              <w:rPr>
                <w:color w:val="000000"/>
              </w:rPr>
            </w:pPr>
            <w:r w:rsidRPr="007C7841">
              <w:rPr>
                <w:rFonts w:eastAsia="Times New Roman" w:cs="Times New Roman"/>
                <w:i/>
                <w:color w:val="000000"/>
              </w:rPr>
              <w:t xml:space="preserve">Enter </w:t>
            </w:r>
            <w:r w:rsidR="00F51D65">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1D1D17E0" w14:textId="22890310" w:rsidR="00520EE2" w:rsidRDefault="00E6199F" w:rsidP="00AE595D">
            <w:pPr>
              <w:spacing w:after="120" w:line="240" w:lineRule="auto"/>
              <w:rPr>
                <w:color w:val="000000"/>
              </w:rPr>
            </w:pPr>
            <w:r w:rsidRPr="0019570D">
              <w:rPr>
                <w:b/>
                <w:color w:val="000000"/>
              </w:rPr>
              <w:t>Resource:</w:t>
            </w:r>
            <w:r>
              <w:rPr>
                <w:color w:val="000000"/>
              </w:rPr>
              <w:t xml:space="preserve"> </w:t>
            </w:r>
            <w:hyperlink r:id="rId22" w:history="1">
              <w:r w:rsidRPr="0089443D">
                <w:rPr>
                  <w:rStyle w:val="Hyperlink"/>
                </w:rPr>
                <w:t xml:space="preserve">American College of Surgeons </w:t>
              </w:r>
              <w:r w:rsidR="0089443D" w:rsidRPr="0089443D">
                <w:rPr>
                  <w:rStyle w:val="Hyperlink"/>
                </w:rPr>
                <w:t>Resources for Safe and Effective Pain Control After Surgery</w:t>
              </w:r>
            </w:hyperlink>
          </w:p>
          <w:p w14:paraId="0029BF1A" w14:textId="77777777" w:rsidR="0025268E" w:rsidRDefault="0025268E" w:rsidP="00AE595D">
            <w:pPr>
              <w:spacing w:after="120" w:line="240" w:lineRule="auto"/>
              <w:rPr>
                <w:color w:val="000000"/>
              </w:rPr>
            </w:pPr>
          </w:p>
          <w:p w14:paraId="5C94E9F0" w14:textId="77777777" w:rsidR="00520EE2" w:rsidRPr="00520EE2" w:rsidRDefault="00520EE2" w:rsidP="00520EE2">
            <w:pPr>
              <w:spacing w:after="120" w:line="240" w:lineRule="auto"/>
              <w:rPr>
                <w:b/>
                <w:color w:val="000000"/>
              </w:rPr>
            </w:pPr>
            <w:r w:rsidRPr="00520EE2">
              <w:rPr>
                <w:b/>
                <w:color w:val="000000"/>
              </w:rPr>
              <w:t xml:space="preserve">Resource: </w:t>
            </w:r>
            <w:hyperlink r:id="rId23" w:history="1">
              <w:r w:rsidRPr="00520EE2">
                <w:rPr>
                  <w:rStyle w:val="Hyperlink"/>
                </w:rPr>
                <w:t>Michigan OPEN Opioid Prescribing Recommendations</w:t>
              </w:r>
            </w:hyperlink>
          </w:p>
          <w:p w14:paraId="57DF7D72" w14:textId="77777777" w:rsidR="0025268E" w:rsidRDefault="0025268E" w:rsidP="00AD1BCA">
            <w:pPr>
              <w:spacing w:after="120" w:line="240" w:lineRule="auto"/>
              <w:rPr>
                <w:b/>
                <w:color w:val="000000"/>
              </w:rPr>
            </w:pPr>
          </w:p>
          <w:p w14:paraId="33DC5DCD" w14:textId="77777777" w:rsidR="00AD1BCA" w:rsidRDefault="00AD1BCA" w:rsidP="00AD1BCA">
            <w:pPr>
              <w:spacing w:after="120" w:line="240" w:lineRule="auto"/>
              <w:rPr>
                <w:color w:val="000000"/>
              </w:rPr>
            </w:pPr>
            <w:r>
              <w:rPr>
                <w:b/>
                <w:color w:val="000000"/>
              </w:rPr>
              <w:t>Tip</w:t>
            </w:r>
            <w:r w:rsidRPr="00AE595D">
              <w:rPr>
                <w:b/>
                <w:color w:val="000000"/>
              </w:rPr>
              <w:t>:</w:t>
            </w:r>
            <w:r w:rsidRPr="00AE595D">
              <w:rPr>
                <w:color w:val="000000"/>
              </w:rPr>
              <w:t xml:space="preserve"> </w:t>
            </w:r>
            <w:r>
              <w:rPr>
                <w:color w:val="000000"/>
              </w:rPr>
              <w:t xml:space="preserve">Refer </w:t>
            </w:r>
            <w:r w:rsidRPr="00AE595D">
              <w:rPr>
                <w:color w:val="000000"/>
              </w:rPr>
              <w:t xml:space="preserve">patients </w:t>
            </w:r>
            <w:r>
              <w:rPr>
                <w:color w:val="000000"/>
              </w:rPr>
              <w:t>to p</w:t>
            </w:r>
            <w:r w:rsidRPr="00AE595D">
              <w:rPr>
                <w:color w:val="000000"/>
              </w:rPr>
              <w:t xml:space="preserve">ain control </w:t>
            </w:r>
            <w:r>
              <w:rPr>
                <w:color w:val="000000"/>
              </w:rPr>
              <w:t>sections of patient e</w:t>
            </w:r>
            <w:r w:rsidRPr="00AE595D">
              <w:rPr>
                <w:color w:val="000000"/>
              </w:rPr>
              <w:t>ducation materials.</w:t>
            </w:r>
          </w:p>
          <w:p w14:paraId="28073DB7" w14:textId="77777777" w:rsidR="00AD1BCA" w:rsidRDefault="00AD1BCA" w:rsidP="00AD1BCA">
            <w:pPr>
              <w:spacing w:after="120" w:line="240" w:lineRule="auto"/>
              <w:rPr>
                <w:color w:val="000000"/>
              </w:rPr>
            </w:pPr>
          </w:p>
          <w:p w14:paraId="38D770D2" w14:textId="77777777" w:rsidR="00520EE2" w:rsidRPr="00520EE2" w:rsidRDefault="00520EE2" w:rsidP="00520EE2">
            <w:pPr>
              <w:spacing w:after="120" w:line="240" w:lineRule="auto"/>
              <w:rPr>
                <w:b/>
                <w:color w:val="000000"/>
              </w:rPr>
            </w:pPr>
          </w:p>
          <w:p w14:paraId="3C0FEBE0" w14:textId="77777777" w:rsidR="00520EE2" w:rsidRPr="00AE595D" w:rsidRDefault="00520EE2" w:rsidP="00AE595D">
            <w:pPr>
              <w:spacing w:after="120" w:line="240" w:lineRule="auto"/>
              <w:rPr>
                <w:color w:val="000000"/>
              </w:rPr>
            </w:pPr>
          </w:p>
        </w:tc>
        <w:tc>
          <w:tcPr>
            <w:tcW w:w="0" w:type="pct"/>
          </w:tcPr>
          <w:p w14:paraId="49D8C412" w14:textId="77777777" w:rsidR="00846FE4" w:rsidRPr="00BF5037" w:rsidRDefault="00846FE4" w:rsidP="00AE595D">
            <w:pPr>
              <w:spacing w:after="120" w:line="240" w:lineRule="auto"/>
              <w:rPr>
                <w:color w:val="000000"/>
              </w:rPr>
            </w:pPr>
            <w:r w:rsidRPr="00BF5037">
              <w:rPr>
                <w:color w:val="000000"/>
              </w:rPr>
              <w:t xml:space="preserve">Opioids prescribed at </w:t>
            </w:r>
            <w:r w:rsidR="00BF5037">
              <w:rPr>
                <w:color w:val="000000"/>
              </w:rPr>
              <w:t>d</w:t>
            </w:r>
            <w:r w:rsidRPr="00BF5037">
              <w:rPr>
                <w:color w:val="000000"/>
              </w:rPr>
              <w:t>ischarge</w:t>
            </w:r>
          </w:p>
          <w:p w14:paraId="1BE6BC42" w14:textId="77777777" w:rsidR="00846FE4" w:rsidRPr="00BF5037" w:rsidRDefault="00846FE4" w:rsidP="00AE595D">
            <w:pPr>
              <w:spacing w:after="120" w:line="240" w:lineRule="auto"/>
              <w:rPr>
                <w:color w:val="000000"/>
              </w:rPr>
            </w:pPr>
          </w:p>
          <w:p w14:paraId="7DD10205" w14:textId="77777777" w:rsidR="00F50278" w:rsidRPr="00AE595D" w:rsidRDefault="00BF5037" w:rsidP="00AE595D">
            <w:pPr>
              <w:spacing w:after="120" w:line="240" w:lineRule="auto"/>
              <w:rPr>
                <w:b/>
                <w:color w:val="000000"/>
              </w:rPr>
            </w:pPr>
            <w:r>
              <w:rPr>
                <w:color w:val="000000"/>
              </w:rPr>
              <w:t>Quantity of opioid</w:t>
            </w:r>
            <w:r w:rsidR="00846FE4" w:rsidRPr="00BF5037">
              <w:rPr>
                <w:color w:val="000000"/>
              </w:rPr>
              <w:t xml:space="preserve"> pills prescribed</w:t>
            </w:r>
          </w:p>
        </w:tc>
      </w:tr>
    </w:tbl>
    <w:p w14:paraId="5CA06F56" w14:textId="11DC2B22" w:rsidR="003A5081" w:rsidRDefault="003A5081" w:rsidP="00AE595D">
      <w:pPr>
        <w:spacing w:after="120" w:line="240" w:lineRule="auto"/>
        <w:rPr>
          <w:rFonts w:eastAsia="Times New Roman" w:cs="Times New Roman"/>
          <w:bCs/>
          <w:color w:val="000000"/>
        </w:rPr>
      </w:pPr>
      <w:r w:rsidRPr="00AE595D">
        <w:t>Abbreviations:</w:t>
      </w:r>
      <w:r>
        <w:t xml:space="preserve"> ISCR = Improving Surgical Care and Recovery</w:t>
      </w:r>
    </w:p>
    <w:p w14:paraId="0E888A7F" w14:textId="7D474364" w:rsidR="00F50278" w:rsidRDefault="00520EE2" w:rsidP="00AE595D">
      <w:pPr>
        <w:spacing w:after="120" w:line="240" w:lineRule="auto"/>
        <w:rPr>
          <w:rFonts w:eastAsia="Times New Roman" w:cs="Times New Roman"/>
          <w:bCs/>
          <w:color w:val="000000"/>
        </w:rPr>
      </w:pPr>
      <w:r w:rsidRPr="001B6B20">
        <w:rPr>
          <w:rFonts w:eastAsia="Times New Roman" w:cs="Times New Roman"/>
          <w:bCs/>
          <w:color w:val="000000"/>
        </w:rPr>
        <w:t>1 H</w:t>
      </w:r>
      <w:r w:rsidRPr="00520EE2">
        <w:rPr>
          <w:rFonts w:eastAsia="Times New Roman" w:cs="Times New Roman"/>
          <w:bCs/>
          <w:color w:val="000000"/>
        </w:rPr>
        <w:t xml:space="preserve">yland SJ, Brockhaus KK, Vincent WR, </w:t>
      </w:r>
      <w:r w:rsidR="0025268E">
        <w:rPr>
          <w:rFonts w:eastAsia="Times New Roman" w:cs="Times New Roman"/>
          <w:bCs/>
          <w:color w:val="000000"/>
        </w:rPr>
        <w:t>et al</w:t>
      </w:r>
      <w:r w:rsidRPr="00520EE2">
        <w:rPr>
          <w:rFonts w:eastAsia="Times New Roman" w:cs="Times New Roman"/>
          <w:bCs/>
          <w:color w:val="000000"/>
        </w:rPr>
        <w:t xml:space="preserve">. Perioperative Pain Management and Opioid Stewardship: A Practical Guide. Healthcare. 2021 Mar 16;9(3):333. </w:t>
      </w:r>
      <w:proofErr w:type="spellStart"/>
      <w:r w:rsidRPr="00520EE2">
        <w:rPr>
          <w:rFonts w:eastAsia="Times New Roman" w:cs="Times New Roman"/>
          <w:bCs/>
          <w:color w:val="000000"/>
        </w:rPr>
        <w:t>doi</w:t>
      </w:r>
      <w:proofErr w:type="spellEnd"/>
      <w:r w:rsidRPr="00520EE2">
        <w:rPr>
          <w:rFonts w:eastAsia="Times New Roman" w:cs="Times New Roman"/>
          <w:bCs/>
          <w:color w:val="000000"/>
        </w:rPr>
        <w:t>: 10.3390/healthcare9030333. PMID: 33809571; PMCID: PMC8001960.</w:t>
      </w:r>
    </w:p>
    <w:p w14:paraId="2735DF56" w14:textId="77777777" w:rsidR="005B7FAD" w:rsidRPr="00520EE2" w:rsidRDefault="005B7FAD" w:rsidP="00AE595D">
      <w:pPr>
        <w:spacing w:after="120" w:line="240" w:lineRule="auto"/>
        <w:rPr>
          <w:rFonts w:eastAsia="Times New Roman" w:cs="Times New Roman"/>
          <w:bCs/>
          <w:color w:val="000000"/>
        </w:rPr>
      </w:pPr>
    </w:p>
    <w:p w14:paraId="58C5BEBB" w14:textId="77777777" w:rsidR="001B6B20" w:rsidRDefault="001B6B20">
      <w:pPr>
        <w:spacing w:after="160" w:line="259" w:lineRule="auto"/>
        <w:ind w:left="360" w:hanging="360"/>
        <w:rPr>
          <w:b/>
          <w:bCs/>
          <w:sz w:val="28"/>
          <w:szCs w:val="28"/>
        </w:rPr>
      </w:pPr>
      <w:r>
        <w:br w:type="page"/>
      </w:r>
    </w:p>
    <w:p w14:paraId="3532F9A1" w14:textId="77777777" w:rsidR="00F50278" w:rsidRDefault="00605B85">
      <w:pPr>
        <w:pStyle w:val="Heading2"/>
      </w:pPr>
      <w:bookmarkStart w:id="47" w:name="_Toc117000824"/>
      <w:r w:rsidRPr="00AE595D">
        <w:lastRenderedPageBreak/>
        <w:t xml:space="preserve">Postoperative </w:t>
      </w:r>
      <w:r w:rsidR="009314FA">
        <w:t>Discharge Planning</w:t>
      </w:r>
      <w:bookmarkEnd w:id="47"/>
      <w:r w:rsidR="009314FA">
        <w:t xml:space="preserve"> </w:t>
      </w:r>
    </w:p>
    <w:p w14:paraId="7F9F6C54" w14:textId="77777777" w:rsidR="00B4239C" w:rsidRPr="00B4239C" w:rsidRDefault="00B4239C" w:rsidP="00B4239C">
      <w:pPr>
        <w:pStyle w:val="BodyText1"/>
      </w:pPr>
      <w:r w:rsidRPr="00B4239C">
        <w:t>Discharge planning should begin well before admission (when feasible) and involve a multidisciplinary approach including physical therapists, case managers, and social workers.</w:t>
      </w:r>
    </w:p>
    <w:p w14:paraId="220BC05D" w14:textId="00851E05" w:rsidR="00B4239C" w:rsidRPr="00526834" w:rsidRDefault="00B4239C" w:rsidP="00526834">
      <w:pPr>
        <w:pStyle w:val="Bullet1"/>
      </w:pPr>
      <w:r w:rsidRPr="00526834">
        <w:rPr>
          <w:i/>
        </w:rPr>
        <w:t>Considerations for colorectal procedures:</w:t>
      </w:r>
      <w:r w:rsidRPr="00526834">
        <w:t xml:space="preserve"> Consider inclusion of wound, ostomy and continence nurses (WOCNs) in discharge planning</w:t>
      </w:r>
      <w:r w:rsidR="00ED6161">
        <w:t>.</w:t>
      </w:r>
    </w:p>
    <w:p w14:paraId="37DF6E5A" w14:textId="77777777" w:rsidR="00B4239C" w:rsidRPr="00526834" w:rsidRDefault="00B4239C" w:rsidP="00526834">
      <w:pPr>
        <w:pStyle w:val="Bullet1"/>
      </w:pPr>
      <w:r w:rsidRPr="00526834">
        <w:rPr>
          <w:i/>
        </w:rPr>
        <w:t>Considerations for hip fracture procedures:</w:t>
      </w:r>
      <w:r w:rsidRPr="00526834">
        <w:t xml:space="preserve"> Initiate discharge planning as early as possible prior to surgery. The use of standardized discharge criteria assessing medical stability as well as functional recovery and strength is recommended.</w:t>
      </w:r>
    </w:p>
    <w:p w14:paraId="11993FE0" w14:textId="74FC6AFF" w:rsidR="00B4239C" w:rsidRPr="00526834" w:rsidRDefault="00B4239C" w:rsidP="00526834">
      <w:pPr>
        <w:pStyle w:val="Bullet1"/>
      </w:pPr>
      <w:r w:rsidRPr="00526834">
        <w:rPr>
          <w:i/>
        </w:rPr>
        <w:t xml:space="preserve">Considerations for </w:t>
      </w:r>
      <w:r w:rsidR="00ED6161">
        <w:rPr>
          <w:i/>
        </w:rPr>
        <w:t>emergency general surgery (</w:t>
      </w:r>
      <w:r w:rsidR="00B00577">
        <w:rPr>
          <w:i/>
        </w:rPr>
        <w:t>EGS</w:t>
      </w:r>
      <w:r w:rsidR="00ED6161">
        <w:rPr>
          <w:i/>
        </w:rPr>
        <w:t>)</w:t>
      </w:r>
      <w:r w:rsidR="00B00577">
        <w:rPr>
          <w:i/>
        </w:rPr>
        <w:t xml:space="preserve"> </w:t>
      </w:r>
      <w:r w:rsidR="00B00577" w:rsidRPr="001D7B40">
        <w:rPr>
          <w:i/>
        </w:rPr>
        <w:t>(</w:t>
      </w:r>
      <w:r w:rsidR="00720489" w:rsidRPr="00890EAD">
        <w:rPr>
          <w:i/>
        </w:rPr>
        <w:t>a</w:t>
      </w:r>
      <w:r w:rsidRPr="001D7B40">
        <w:rPr>
          <w:i/>
        </w:rPr>
        <w:t>pp</w:t>
      </w:r>
      <w:r w:rsidR="00B00577" w:rsidRPr="00890EAD">
        <w:rPr>
          <w:i/>
        </w:rPr>
        <w:t>endectomy</w:t>
      </w:r>
      <w:r w:rsidRPr="001D7B40">
        <w:rPr>
          <w:i/>
        </w:rPr>
        <w:t>/</w:t>
      </w:r>
      <w:r w:rsidR="00720489" w:rsidRPr="00890EAD">
        <w:rPr>
          <w:i/>
        </w:rPr>
        <w:t>c</w:t>
      </w:r>
      <w:r w:rsidR="00B00577" w:rsidRPr="00890EAD">
        <w:rPr>
          <w:i/>
        </w:rPr>
        <w:t>holecystectomy</w:t>
      </w:r>
      <w:r w:rsidRPr="00526834">
        <w:rPr>
          <w:i/>
        </w:rPr>
        <w:t xml:space="preserve"> procedures</w:t>
      </w:r>
      <w:r w:rsidR="00B00577">
        <w:rPr>
          <w:i/>
        </w:rPr>
        <w:t>)</w:t>
      </w:r>
      <w:r w:rsidRPr="00526834">
        <w:rPr>
          <w:i/>
        </w:rPr>
        <w:t>:</w:t>
      </w:r>
      <w:r w:rsidRPr="00526834">
        <w:t xml:space="preserve"> Discharge planning should begin as soon as the patient is admitted.</w:t>
      </w:r>
    </w:p>
    <w:p w14:paraId="3F342B4C" w14:textId="744FC09E" w:rsidR="00B4239C" w:rsidRPr="00526834" w:rsidRDefault="00B4239C" w:rsidP="00526834">
      <w:pPr>
        <w:pStyle w:val="Bullet1"/>
      </w:pPr>
      <w:r w:rsidRPr="00526834">
        <w:rPr>
          <w:i/>
        </w:rPr>
        <w:t xml:space="preserve">Considerations for </w:t>
      </w:r>
      <w:r w:rsidR="00B00577">
        <w:rPr>
          <w:i/>
        </w:rPr>
        <w:t>EGS (</w:t>
      </w:r>
      <w:r w:rsidRPr="00526834">
        <w:rPr>
          <w:i/>
        </w:rPr>
        <w:t>major abdominal procedures</w:t>
      </w:r>
      <w:r w:rsidR="00B00577">
        <w:rPr>
          <w:i/>
        </w:rPr>
        <w:t>)</w:t>
      </w:r>
      <w:r w:rsidRPr="00526834">
        <w:rPr>
          <w:i/>
        </w:rPr>
        <w:t>:</w:t>
      </w:r>
      <w:r w:rsidRPr="00526834">
        <w:t xml:space="preserve"> Discharge planning should begin as soon as the patient is admitted. Consider inclusion of WOCNs in discharge planning when applicable.</w:t>
      </w:r>
    </w:p>
    <w:p w14:paraId="4F6DE1EB" w14:textId="77777777" w:rsidR="006F533C" w:rsidRPr="00AE595D" w:rsidRDefault="006F533C" w:rsidP="006F533C">
      <w:pPr>
        <w:pStyle w:val="Bullet1"/>
        <w:numPr>
          <w:ilvl w:val="0"/>
          <w:numId w:val="0"/>
        </w:numPr>
        <w:spacing w:after="0" w:line="240" w:lineRule="auto"/>
        <w:ind w:left="720"/>
      </w:pPr>
    </w:p>
    <w:tbl>
      <w:tblPr>
        <w:tblStyle w:val="GridTable1Light1"/>
        <w:tblW w:w="5000" w:type="pct"/>
        <w:tblLook w:val="0600" w:firstRow="0" w:lastRow="0" w:firstColumn="0" w:lastColumn="0" w:noHBand="1" w:noVBand="1"/>
      </w:tblPr>
      <w:tblGrid>
        <w:gridCol w:w="3535"/>
        <w:gridCol w:w="3565"/>
        <w:gridCol w:w="4737"/>
        <w:gridCol w:w="4039"/>
        <w:gridCol w:w="3508"/>
        <w:gridCol w:w="3646"/>
      </w:tblGrid>
      <w:tr w:rsidR="004B3D41" w:rsidRPr="00AE595D" w14:paraId="7AF5009B" w14:textId="77777777" w:rsidTr="009C7C23">
        <w:trPr>
          <w:cantSplit/>
          <w:trHeight w:val="973"/>
          <w:tblHeader/>
        </w:trPr>
        <w:tc>
          <w:tcPr>
            <w:tcW w:w="0" w:type="pct"/>
            <w:hideMark/>
          </w:tcPr>
          <w:p w14:paraId="4580D002" w14:textId="27111ECE" w:rsidR="004B3D41" w:rsidRPr="00AE595D" w:rsidRDefault="004B3D41" w:rsidP="00AE595D">
            <w:pPr>
              <w:spacing w:after="120" w:line="240" w:lineRule="auto"/>
              <w:ind w:left="159"/>
            </w:pPr>
            <w:r w:rsidRPr="00AE595D">
              <w:rPr>
                <w:b/>
                <w:bCs/>
              </w:rPr>
              <w:t xml:space="preserve">Pathway </w:t>
            </w:r>
          </w:p>
        </w:tc>
        <w:tc>
          <w:tcPr>
            <w:tcW w:w="0" w:type="pct"/>
            <w:hideMark/>
          </w:tcPr>
          <w:p w14:paraId="79B8BC2F" w14:textId="77777777" w:rsidR="004B3D41" w:rsidRPr="00AE595D" w:rsidRDefault="004B3D41" w:rsidP="00AE595D">
            <w:pPr>
              <w:spacing w:after="120" w:line="240" w:lineRule="auto"/>
              <w:rPr>
                <w:b/>
                <w:bCs/>
              </w:rPr>
            </w:pPr>
            <w:r w:rsidRPr="00AE595D">
              <w:rPr>
                <w:b/>
                <w:bCs/>
              </w:rPr>
              <w:t>Component</w:t>
            </w:r>
          </w:p>
        </w:tc>
        <w:tc>
          <w:tcPr>
            <w:tcW w:w="0" w:type="pct"/>
            <w:hideMark/>
          </w:tcPr>
          <w:p w14:paraId="3F1840A6" w14:textId="329D7219" w:rsidR="00526834" w:rsidRDefault="004B3D41" w:rsidP="00AE595D">
            <w:pPr>
              <w:spacing w:after="120" w:line="240" w:lineRule="auto"/>
              <w:rPr>
                <w:b/>
                <w:bCs/>
              </w:rPr>
            </w:pPr>
            <w:r w:rsidRPr="00AE595D">
              <w:rPr>
                <w:b/>
                <w:bCs/>
              </w:rPr>
              <w:t xml:space="preserve">Example Processes </w:t>
            </w:r>
            <w:r w:rsidR="009A1924">
              <w:rPr>
                <w:b/>
                <w:bCs/>
              </w:rPr>
              <w:t>T</w:t>
            </w:r>
            <w:r w:rsidRPr="00AE595D">
              <w:rPr>
                <w:b/>
                <w:bCs/>
              </w:rPr>
              <w:t>o Consider</w:t>
            </w:r>
          </w:p>
          <w:p w14:paraId="2074F799" w14:textId="77777777" w:rsidR="004B3D41" w:rsidRPr="00526834" w:rsidRDefault="004B3D41" w:rsidP="00AE595D">
            <w:pPr>
              <w:spacing w:after="120" w:line="240" w:lineRule="auto"/>
              <w:rPr>
                <w:i/>
              </w:rPr>
            </w:pPr>
            <w:r w:rsidRPr="00526834">
              <w:rPr>
                <w:bCs/>
                <w:i/>
              </w:rPr>
              <w:t>As a team, go through each component and discuss what approach best fits your hospital. It may be an option other than what is listed below.</w:t>
            </w:r>
          </w:p>
        </w:tc>
        <w:tc>
          <w:tcPr>
            <w:tcW w:w="0" w:type="pct"/>
            <w:hideMark/>
          </w:tcPr>
          <w:p w14:paraId="424B7383" w14:textId="77777777" w:rsidR="004B3D41" w:rsidRPr="00AE595D" w:rsidRDefault="004B3D41" w:rsidP="00AE595D">
            <w:pPr>
              <w:spacing w:after="120" w:line="240" w:lineRule="auto"/>
            </w:pPr>
            <w:r w:rsidRPr="00AE595D">
              <w:rPr>
                <w:b/>
                <w:bCs/>
              </w:rPr>
              <w:t>Team Decisions/Notes</w:t>
            </w:r>
          </w:p>
          <w:p w14:paraId="639B34A4" w14:textId="77777777" w:rsidR="004B3D41" w:rsidRPr="00526834" w:rsidRDefault="004B3D41" w:rsidP="00AE595D">
            <w:pPr>
              <w:spacing w:after="120" w:line="240" w:lineRule="auto"/>
              <w:rPr>
                <w:i/>
              </w:rPr>
            </w:pPr>
            <w:r w:rsidRPr="00526834">
              <w:rPr>
                <w:bCs/>
                <w:i/>
              </w:rPr>
              <w:t>As a team, note exceptions and contraindications to the treatment or medications.</w:t>
            </w:r>
          </w:p>
        </w:tc>
        <w:tc>
          <w:tcPr>
            <w:tcW w:w="0" w:type="pct"/>
            <w:hideMark/>
          </w:tcPr>
          <w:p w14:paraId="543F5F6E" w14:textId="6DC3FE19" w:rsidR="004B3D41" w:rsidRPr="00AE595D" w:rsidRDefault="00AA140E" w:rsidP="00AE595D">
            <w:pPr>
              <w:spacing w:after="120" w:line="240" w:lineRule="auto"/>
            </w:pPr>
            <w:r>
              <w:rPr>
                <w:b/>
                <w:bCs/>
              </w:rPr>
              <w:t xml:space="preserve">Other Available Resources </w:t>
            </w:r>
            <w:r w:rsidR="009A1924">
              <w:rPr>
                <w:b/>
                <w:bCs/>
              </w:rPr>
              <w:t>and</w:t>
            </w:r>
            <w:r>
              <w:rPr>
                <w:b/>
                <w:bCs/>
              </w:rPr>
              <w:t xml:space="preserve"> Tips </w:t>
            </w:r>
            <w:r w:rsidR="009A1924">
              <w:rPr>
                <w:b/>
                <w:bCs/>
              </w:rPr>
              <w:t>T</w:t>
            </w:r>
            <w:r>
              <w:rPr>
                <w:b/>
                <w:bCs/>
              </w:rPr>
              <w:t>o Consider</w:t>
            </w:r>
          </w:p>
        </w:tc>
        <w:tc>
          <w:tcPr>
            <w:tcW w:w="0" w:type="pct"/>
            <w:hideMark/>
          </w:tcPr>
          <w:p w14:paraId="1E3CCF5D" w14:textId="77777777" w:rsidR="0019570D" w:rsidRPr="009F40B9" w:rsidRDefault="0019570D" w:rsidP="0019570D">
            <w:pPr>
              <w:pStyle w:val="TableParagraph"/>
              <w:rPr>
                <w:rStyle w:val="Strong"/>
              </w:rPr>
            </w:pPr>
            <w:r w:rsidRPr="009F40B9">
              <w:rPr>
                <w:rStyle w:val="Strong"/>
              </w:rPr>
              <w:t>ISCR Measures</w:t>
            </w:r>
          </w:p>
          <w:p w14:paraId="1DEBD271" w14:textId="77777777" w:rsidR="004B3D41" w:rsidRPr="00AE595D" w:rsidRDefault="0019570D" w:rsidP="0019570D">
            <w:pPr>
              <w:spacing w:after="120" w:line="240" w:lineRule="auto"/>
            </w:pPr>
            <w:r w:rsidRPr="009F40B9">
              <w:rPr>
                <w:rStyle w:val="Strong"/>
                <w:b w:val="0"/>
                <w:i/>
              </w:rPr>
              <w:t>As a team, decide on specific and standardized measures you can track at your hospital. It may be helpful to record your definitions here.</w:t>
            </w:r>
          </w:p>
        </w:tc>
      </w:tr>
      <w:tr w:rsidR="005F5399" w:rsidRPr="00AE595D" w14:paraId="3C8EE1A1" w14:textId="77777777" w:rsidTr="009C7C23">
        <w:trPr>
          <w:cantSplit/>
          <w:trHeight w:val="973"/>
        </w:trPr>
        <w:tc>
          <w:tcPr>
            <w:tcW w:w="0" w:type="pct"/>
          </w:tcPr>
          <w:p w14:paraId="2425260F" w14:textId="77777777" w:rsidR="005F5399" w:rsidRPr="00526834" w:rsidRDefault="0005083C" w:rsidP="00AE595D">
            <w:pPr>
              <w:spacing w:after="120" w:line="240" w:lineRule="auto"/>
              <w:ind w:left="159"/>
              <w:rPr>
                <w:b/>
                <w:bCs/>
              </w:rPr>
            </w:pPr>
            <w:r w:rsidRPr="00526834">
              <w:rPr>
                <w:b/>
                <w:bCs/>
              </w:rPr>
              <w:t>All ISCR Pathways</w:t>
            </w:r>
          </w:p>
        </w:tc>
        <w:tc>
          <w:tcPr>
            <w:tcW w:w="0" w:type="pct"/>
          </w:tcPr>
          <w:p w14:paraId="4031C8B8" w14:textId="77777777" w:rsidR="005F5399" w:rsidRPr="00526834" w:rsidRDefault="005F5399" w:rsidP="00AE595D">
            <w:pPr>
              <w:spacing w:after="120" w:line="240" w:lineRule="auto"/>
              <w:rPr>
                <w:b/>
                <w:bCs/>
              </w:rPr>
            </w:pPr>
            <w:r w:rsidRPr="00526834">
              <w:rPr>
                <w:b/>
                <w:bCs/>
              </w:rPr>
              <w:t>Discharge Planning</w:t>
            </w:r>
          </w:p>
        </w:tc>
        <w:tc>
          <w:tcPr>
            <w:tcW w:w="0" w:type="pct"/>
          </w:tcPr>
          <w:p w14:paraId="50EE0852" w14:textId="77777777" w:rsidR="005F5399" w:rsidRPr="00526834" w:rsidRDefault="005F5399" w:rsidP="00526834">
            <w:pPr>
              <w:spacing w:after="120" w:line="240" w:lineRule="auto"/>
              <w:rPr>
                <w:b/>
                <w:color w:val="000000"/>
              </w:rPr>
            </w:pPr>
            <w:r w:rsidRPr="00526834">
              <w:rPr>
                <w:b/>
                <w:color w:val="000000"/>
              </w:rPr>
              <w:t>Recommended approach:</w:t>
            </w:r>
          </w:p>
          <w:p w14:paraId="56C20495" w14:textId="12F7E5AB" w:rsidR="005F5399" w:rsidRPr="00AE595D" w:rsidRDefault="005F5399" w:rsidP="00DA32AD">
            <w:pPr>
              <w:pStyle w:val="ListParagraph"/>
              <w:numPr>
                <w:ilvl w:val="0"/>
                <w:numId w:val="44"/>
              </w:numPr>
              <w:spacing w:after="120" w:line="240" w:lineRule="auto"/>
              <w:ind w:left="699"/>
              <w:contextualSpacing w:val="0"/>
              <w:rPr>
                <w:color w:val="000000"/>
              </w:rPr>
            </w:pPr>
            <w:r w:rsidRPr="00AE595D">
              <w:rPr>
                <w:color w:val="000000"/>
              </w:rPr>
              <w:t xml:space="preserve">A multidisciplinary approach to discharge planning should begin before admission or upon presentation for </w:t>
            </w:r>
            <w:r w:rsidR="0005083C">
              <w:rPr>
                <w:color w:val="000000"/>
              </w:rPr>
              <w:t>all</w:t>
            </w:r>
            <w:r w:rsidRPr="00AE595D">
              <w:rPr>
                <w:color w:val="000000"/>
              </w:rPr>
              <w:t xml:space="preserve"> surgeries, to include:</w:t>
            </w:r>
          </w:p>
          <w:p w14:paraId="6C36BD50" w14:textId="77777777" w:rsidR="0005083C" w:rsidRPr="0005083C" w:rsidRDefault="0005083C" w:rsidP="0005083C">
            <w:pPr>
              <w:pStyle w:val="ListParagraph"/>
              <w:numPr>
                <w:ilvl w:val="0"/>
                <w:numId w:val="46"/>
              </w:numPr>
              <w:spacing w:after="0" w:line="240" w:lineRule="auto"/>
              <w:ind w:left="1066"/>
              <w:rPr>
                <w:color w:val="000000"/>
              </w:rPr>
            </w:pPr>
            <w:r w:rsidRPr="0005083C">
              <w:rPr>
                <w:color w:val="000000"/>
              </w:rPr>
              <w:t>The patient and family</w:t>
            </w:r>
          </w:p>
          <w:p w14:paraId="0B09A991" w14:textId="77777777" w:rsidR="005F5399" w:rsidRPr="00AE595D" w:rsidRDefault="005F5399" w:rsidP="0005083C">
            <w:pPr>
              <w:pStyle w:val="ListParagraph"/>
              <w:numPr>
                <w:ilvl w:val="0"/>
                <w:numId w:val="46"/>
              </w:numPr>
              <w:spacing w:after="0" w:line="240" w:lineRule="auto"/>
              <w:ind w:left="1066"/>
              <w:contextualSpacing w:val="0"/>
              <w:rPr>
                <w:color w:val="000000"/>
              </w:rPr>
            </w:pPr>
            <w:r w:rsidRPr="00AE595D">
              <w:rPr>
                <w:color w:val="000000"/>
              </w:rPr>
              <w:t>Wound nurses, if applicable</w:t>
            </w:r>
          </w:p>
          <w:p w14:paraId="0CBACAC3" w14:textId="77777777" w:rsidR="005F5399" w:rsidRPr="00AE595D" w:rsidRDefault="005F5399" w:rsidP="0005083C">
            <w:pPr>
              <w:pStyle w:val="ListParagraph"/>
              <w:numPr>
                <w:ilvl w:val="0"/>
                <w:numId w:val="46"/>
              </w:numPr>
              <w:spacing w:after="0" w:line="240" w:lineRule="auto"/>
              <w:ind w:left="1066"/>
              <w:contextualSpacing w:val="0"/>
              <w:rPr>
                <w:color w:val="000000"/>
              </w:rPr>
            </w:pPr>
            <w:r w:rsidRPr="00AE595D">
              <w:rPr>
                <w:color w:val="000000"/>
              </w:rPr>
              <w:t>Physical therapists</w:t>
            </w:r>
          </w:p>
          <w:p w14:paraId="75015F52" w14:textId="77777777" w:rsidR="005F5399" w:rsidRPr="00AE595D" w:rsidRDefault="005F5399" w:rsidP="0005083C">
            <w:pPr>
              <w:pStyle w:val="ListParagraph"/>
              <w:numPr>
                <w:ilvl w:val="0"/>
                <w:numId w:val="46"/>
              </w:numPr>
              <w:spacing w:after="0" w:line="240" w:lineRule="auto"/>
              <w:ind w:left="1066"/>
              <w:contextualSpacing w:val="0"/>
              <w:rPr>
                <w:color w:val="000000"/>
              </w:rPr>
            </w:pPr>
            <w:r w:rsidRPr="00AE595D">
              <w:rPr>
                <w:color w:val="000000"/>
              </w:rPr>
              <w:t>Occupational therapists</w:t>
            </w:r>
          </w:p>
          <w:p w14:paraId="50B2CDBD" w14:textId="77777777" w:rsidR="005F5399" w:rsidRPr="00AE595D" w:rsidRDefault="005F5399" w:rsidP="0005083C">
            <w:pPr>
              <w:pStyle w:val="ListParagraph"/>
              <w:numPr>
                <w:ilvl w:val="0"/>
                <w:numId w:val="46"/>
              </w:numPr>
              <w:spacing w:after="0" w:line="240" w:lineRule="auto"/>
              <w:ind w:left="1066"/>
              <w:contextualSpacing w:val="0"/>
              <w:rPr>
                <w:color w:val="000000"/>
              </w:rPr>
            </w:pPr>
            <w:r w:rsidRPr="00AE595D">
              <w:rPr>
                <w:color w:val="000000"/>
              </w:rPr>
              <w:t>Case managers</w:t>
            </w:r>
          </w:p>
          <w:p w14:paraId="768BBCB9" w14:textId="3ECB9259" w:rsidR="005F5399" w:rsidRPr="00AE595D" w:rsidRDefault="005F5399" w:rsidP="0005083C">
            <w:pPr>
              <w:pStyle w:val="ListParagraph"/>
              <w:numPr>
                <w:ilvl w:val="0"/>
                <w:numId w:val="46"/>
              </w:numPr>
              <w:spacing w:after="0" w:line="240" w:lineRule="auto"/>
              <w:ind w:left="1066"/>
              <w:contextualSpacing w:val="0"/>
              <w:rPr>
                <w:b/>
                <w:bCs/>
              </w:rPr>
            </w:pPr>
            <w:r w:rsidRPr="00AE595D">
              <w:rPr>
                <w:color w:val="000000"/>
              </w:rPr>
              <w:t xml:space="preserve">Social </w:t>
            </w:r>
            <w:r w:rsidR="00D060D1">
              <w:rPr>
                <w:color w:val="000000"/>
              </w:rPr>
              <w:t>w</w:t>
            </w:r>
            <w:r w:rsidR="00D060D1" w:rsidRPr="00AE595D">
              <w:rPr>
                <w:color w:val="000000"/>
              </w:rPr>
              <w:t>orkers</w:t>
            </w:r>
          </w:p>
          <w:p w14:paraId="69D40914" w14:textId="77777777" w:rsidR="005F5399" w:rsidRPr="006F533C" w:rsidRDefault="005F5399" w:rsidP="006F533C">
            <w:pPr>
              <w:spacing w:after="120" w:line="240" w:lineRule="auto"/>
              <w:rPr>
                <w:b/>
                <w:bCs/>
              </w:rPr>
            </w:pPr>
          </w:p>
        </w:tc>
        <w:tc>
          <w:tcPr>
            <w:tcW w:w="0" w:type="pct"/>
          </w:tcPr>
          <w:p w14:paraId="066D387C" w14:textId="65D720F0" w:rsidR="005F5399" w:rsidRPr="00AE595D" w:rsidRDefault="00C2156C" w:rsidP="00AE595D">
            <w:pPr>
              <w:spacing w:after="120" w:line="240" w:lineRule="auto"/>
              <w:rPr>
                <w:b/>
                <w:bCs/>
              </w:rPr>
            </w:pPr>
            <w:r w:rsidRPr="007C7841">
              <w:rPr>
                <w:rFonts w:eastAsia="Times New Roman" w:cs="Times New Roman"/>
                <w:i/>
                <w:color w:val="000000"/>
              </w:rPr>
              <w:t xml:space="preserve">Enter </w:t>
            </w:r>
            <w:r w:rsidR="009A1924">
              <w:rPr>
                <w:rFonts w:eastAsia="Times New Roman" w:cs="Times New Roman"/>
                <w:i/>
                <w:color w:val="000000"/>
              </w:rPr>
              <w:t xml:space="preserve">team decisions/notes </w:t>
            </w:r>
            <w:r w:rsidRPr="007C7841">
              <w:rPr>
                <w:rFonts w:eastAsia="Times New Roman" w:cs="Times New Roman"/>
                <w:i/>
                <w:color w:val="000000"/>
              </w:rPr>
              <w:t>here</w:t>
            </w:r>
          </w:p>
        </w:tc>
        <w:tc>
          <w:tcPr>
            <w:tcW w:w="0" w:type="pct"/>
          </w:tcPr>
          <w:p w14:paraId="271C95F6" w14:textId="639D9546" w:rsidR="005F5399" w:rsidRDefault="003023A5" w:rsidP="00AE595D">
            <w:pPr>
              <w:spacing w:after="120" w:line="240" w:lineRule="auto"/>
              <w:rPr>
                <w:color w:val="000000"/>
              </w:rPr>
            </w:pPr>
            <w:r>
              <w:rPr>
                <w:b/>
                <w:color w:val="000000"/>
              </w:rPr>
              <w:t>Tip</w:t>
            </w:r>
            <w:r w:rsidR="005F5399" w:rsidRPr="00AE595D">
              <w:rPr>
                <w:b/>
                <w:color w:val="000000"/>
              </w:rPr>
              <w:t xml:space="preserve">: </w:t>
            </w:r>
            <w:r w:rsidR="005F5399" w:rsidRPr="00AE595D">
              <w:rPr>
                <w:color w:val="000000"/>
              </w:rPr>
              <w:t xml:space="preserve">Patients </w:t>
            </w:r>
            <w:r w:rsidR="00C2156C">
              <w:rPr>
                <w:color w:val="000000"/>
              </w:rPr>
              <w:t>recover faster</w:t>
            </w:r>
            <w:r w:rsidR="005F5399" w:rsidRPr="00AE595D">
              <w:rPr>
                <w:color w:val="000000"/>
              </w:rPr>
              <w:t xml:space="preserve"> if they are discharged to home – plan early to ensure the right resources are in place for them to succeed in recovery at home.</w:t>
            </w:r>
          </w:p>
          <w:p w14:paraId="0EB1B897" w14:textId="77777777" w:rsidR="00C2156C" w:rsidRPr="00AE595D" w:rsidRDefault="00C2156C" w:rsidP="00AE595D">
            <w:pPr>
              <w:spacing w:after="120" w:line="240" w:lineRule="auto"/>
              <w:rPr>
                <w:b/>
                <w:bCs/>
              </w:rPr>
            </w:pPr>
            <w:r>
              <w:rPr>
                <w:b/>
                <w:bCs/>
              </w:rPr>
              <w:t xml:space="preserve">Tip: </w:t>
            </w:r>
            <w:r w:rsidRPr="00890EAD">
              <w:rPr>
                <w:bCs/>
              </w:rPr>
              <w:t>Depending on patient’s clinical status, pain level, and functioning at discharge, consider prescribing opioids only if indicated.</w:t>
            </w:r>
          </w:p>
        </w:tc>
        <w:tc>
          <w:tcPr>
            <w:tcW w:w="0" w:type="pct"/>
          </w:tcPr>
          <w:p w14:paraId="53033180" w14:textId="77777777" w:rsidR="005F5399" w:rsidRPr="00BF5037" w:rsidRDefault="001F7C6C" w:rsidP="00AE595D">
            <w:pPr>
              <w:spacing w:after="120" w:line="240" w:lineRule="auto"/>
              <w:rPr>
                <w:bCs/>
              </w:rPr>
            </w:pPr>
            <w:r w:rsidRPr="00BF5037">
              <w:rPr>
                <w:bCs/>
              </w:rPr>
              <w:t xml:space="preserve">Opioid </w:t>
            </w:r>
            <w:r w:rsidR="00BF5037" w:rsidRPr="00BF5037">
              <w:rPr>
                <w:bCs/>
              </w:rPr>
              <w:t xml:space="preserve">prescribed at discharge </w:t>
            </w:r>
          </w:p>
        </w:tc>
      </w:tr>
    </w:tbl>
    <w:p w14:paraId="02D65F68" w14:textId="77777777" w:rsidR="009A1924" w:rsidRDefault="009A1924" w:rsidP="009A1924">
      <w:pPr>
        <w:spacing w:after="120" w:line="240" w:lineRule="auto"/>
        <w:rPr>
          <w:rFonts w:eastAsia="Times New Roman" w:cs="Times New Roman"/>
          <w:bCs/>
          <w:color w:val="000000"/>
        </w:rPr>
      </w:pPr>
      <w:r w:rsidRPr="00AE595D">
        <w:t>Abbreviations:</w:t>
      </w:r>
      <w:r>
        <w:t xml:space="preserve"> ISCR = Improving Surgical Care and Recovery</w:t>
      </w:r>
    </w:p>
    <w:p w14:paraId="4630743E" w14:textId="09F42635" w:rsidR="002E51BD" w:rsidRDefault="002E51BD" w:rsidP="00AE595D">
      <w:pPr>
        <w:spacing w:after="120" w:line="240" w:lineRule="auto"/>
        <w:rPr>
          <w:sz w:val="24"/>
        </w:rPr>
      </w:pPr>
    </w:p>
    <w:p w14:paraId="4BE83734" w14:textId="77777777" w:rsidR="00DA32AD" w:rsidRDefault="00DA32AD" w:rsidP="00AE595D">
      <w:pPr>
        <w:spacing w:after="120" w:line="240" w:lineRule="auto"/>
        <w:rPr>
          <w:sz w:val="24"/>
        </w:rPr>
      </w:pPr>
    </w:p>
    <w:p w14:paraId="269AA713" w14:textId="77777777" w:rsidR="00DA32AD" w:rsidRDefault="00DA32AD" w:rsidP="00AE595D">
      <w:pPr>
        <w:spacing w:after="120" w:line="240" w:lineRule="auto"/>
        <w:rPr>
          <w:sz w:val="24"/>
        </w:rPr>
      </w:pPr>
    </w:p>
    <w:p w14:paraId="16084DEF" w14:textId="77777777" w:rsidR="00DA32AD" w:rsidRDefault="00DA32AD" w:rsidP="00AE595D">
      <w:pPr>
        <w:spacing w:after="120" w:line="240" w:lineRule="auto"/>
        <w:rPr>
          <w:sz w:val="24"/>
        </w:rPr>
      </w:pPr>
    </w:p>
    <w:p w14:paraId="57A28EFB" w14:textId="77777777" w:rsidR="00DA32AD" w:rsidRDefault="00DA32AD" w:rsidP="00AE595D">
      <w:pPr>
        <w:spacing w:after="120" w:line="240" w:lineRule="auto"/>
        <w:rPr>
          <w:sz w:val="24"/>
        </w:rPr>
      </w:pPr>
    </w:p>
    <w:p w14:paraId="12542620" w14:textId="77777777" w:rsidR="00DA32AD" w:rsidRDefault="00DA32AD" w:rsidP="00AE595D">
      <w:pPr>
        <w:spacing w:after="120" w:line="240" w:lineRule="auto"/>
        <w:rPr>
          <w:sz w:val="24"/>
        </w:rPr>
      </w:pPr>
    </w:p>
    <w:p w14:paraId="41476587" w14:textId="77777777" w:rsidR="00DA32AD" w:rsidRDefault="00DA32AD" w:rsidP="00AE595D">
      <w:pPr>
        <w:spacing w:after="120" w:line="240" w:lineRule="auto"/>
        <w:rPr>
          <w:sz w:val="24"/>
        </w:rPr>
      </w:pPr>
    </w:p>
    <w:p w14:paraId="6B0EC5F4" w14:textId="77777777" w:rsidR="00DA32AD" w:rsidRDefault="00DA32AD" w:rsidP="00DA32AD">
      <w:pPr>
        <w:pStyle w:val="BodyText1"/>
        <w:rPr>
          <w:rStyle w:val="Strong"/>
        </w:rPr>
        <w:sectPr w:rsidR="00DA32AD" w:rsidSect="002E51BD">
          <w:footerReference w:type="default" r:id="rId24"/>
          <w:pgSz w:w="24480" w:h="15840" w:orient="landscape" w:code="3"/>
          <w:pgMar w:top="720" w:right="720" w:bottom="720" w:left="720" w:header="720" w:footer="720" w:gutter="0"/>
          <w:cols w:space="720"/>
          <w:docGrid w:linePitch="360"/>
        </w:sectPr>
      </w:pPr>
    </w:p>
    <w:p w14:paraId="30CD20A5" w14:textId="6AAF5966" w:rsidR="00DA32AD" w:rsidRPr="00EB41BF" w:rsidRDefault="00927003">
      <w:pPr>
        <w:pStyle w:val="Heading2"/>
        <w:rPr>
          <w:rStyle w:val="Strong"/>
          <w:b/>
          <w:bCs/>
          <w:sz w:val="22"/>
          <w:szCs w:val="22"/>
        </w:rPr>
      </w:pPr>
      <w:bookmarkStart w:id="48" w:name="_Toc117000825"/>
      <w:r>
        <w:lastRenderedPageBreak/>
        <w:t>Appendix: Evidence Reviews Conducted for the AHRQ Safety Program for Improving Surgical Care and Recovery</w:t>
      </w:r>
      <w:bookmarkEnd w:id="48"/>
    </w:p>
    <w:tbl>
      <w:tblPr>
        <w:tblStyle w:val="TableGrid"/>
        <w:tblW w:w="109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DA32AD" w:rsidRPr="00905392" w14:paraId="2CA4D917" w14:textId="77777777" w:rsidTr="00D003A0">
        <w:trPr>
          <w:trHeight w:val="362"/>
        </w:trPr>
        <w:tc>
          <w:tcPr>
            <w:tcW w:w="10980" w:type="dxa"/>
            <w:noWrap/>
            <w:hideMark/>
          </w:tcPr>
          <w:p w14:paraId="486A2F49" w14:textId="259A80C9" w:rsidR="00DA32AD" w:rsidRPr="00BB12F7" w:rsidRDefault="00DA32AD" w:rsidP="00DA32AD">
            <w:pPr>
              <w:pStyle w:val="ListParagraph"/>
              <w:numPr>
                <w:ilvl w:val="0"/>
                <w:numId w:val="52"/>
              </w:numPr>
              <w:spacing w:after="120" w:line="240" w:lineRule="auto"/>
              <w:ind w:left="345" w:hanging="345"/>
              <w:rPr>
                <w:rFonts w:eastAsia="Times New Roman" w:cstheme="minorHAnsi"/>
                <w:color w:val="000000"/>
              </w:rPr>
            </w:pPr>
            <w:r w:rsidRPr="00BB12F7">
              <w:rPr>
                <w:rFonts w:eastAsia="Times New Roman" w:cstheme="minorHAnsi"/>
                <w:color w:val="000000"/>
              </w:rPr>
              <w:t xml:space="preserve">Ban KA, Gibbons MM, Ko CY, </w:t>
            </w:r>
            <w:r w:rsidR="00685DE3">
              <w:rPr>
                <w:rFonts w:eastAsia="Times New Roman" w:cstheme="minorHAnsi"/>
                <w:color w:val="000000"/>
              </w:rPr>
              <w:t>et al</w:t>
            </w:r>
            <w:r w:rsidRPr="00BB12F7">
              <w:rPr>
                <w:rFonts w:eastAsia="Times New Roman" w:cstheme="minorHAnsi"/>
                <w:color w:val="000000"/>
              </w:rPr>
              <w:t xml:space="preserve">. Surgical </w:t>
            </w:r>
            <w:r w:rsidR="008A4CA8" w:rsidRPr="00BB12F7">
              <w:rPr>
                <w:rFonts w:eastAsia="Times New Roman" w:cstheme="minorHAnsi"/>
                <w:color w:val="000000"/>
              </w:rPr>
              <w:t xml:space="preserve">technical evidence review for colorectal surgery conducted for </w:t>
            </w:r>
            <w:r w:rsidRPr="00BB12F7">
              <w:rPr>
                <w:rFonts w:eastAsia="Times New Roman" w:cstheme="minorHAnsi"/>
                <w:color w:val="000000"/>
              </w:rPr>
              <w:t xml:space="preserve">the AHRQ Safety Program for Improving Surgical Care and Recovery. J Am Coll Surg. 2017 Oct;225(4):548-57.e3. </w:t>
            </w:r>
            <w:proofErr w:type="spellStart"/>
            <w:r w:rsidRPr="00BB12F7">
              <w:rPr>
                <w:rFonts w:eastAsia="Times New Roman" w:cstheme="minorHAnsi"/>
                <w:color w:val="000000"/>
              </w:rPr>
              <w:t>Epub</w:t>
            </w:r>
            <w:proofErr w:type="spellEnd"/>
            <w:r w:rsidRPr="00BB12F7">
              <w:rPr>
                <w:rFonts w:eastAsia="Times New Roman" w:cstheme="minorHAnsi"/>
                <w:color w:val="000000"/>
              </w:rPr>
              <w:t xml:space="preserve"> 2017 Aug 7. PMID: 28797562; PMCID: PMC9275829. </w:t>
            </w:r>
            <w:hyperlink r:id="rId25" w:history="1">
              <w:r w:rsidRPr="00BB12F7">
                <w:rPr>
                  <w:rFonts w:eastAsia="Times New Roman" w:cstheme="minorHAnsi"/>
                  <w:color w:val="0563C1" w:themeColor="hyperlink"/>
                  <w:u w:val="single"/>
                </w:rPr>
                <w:t>http://dx.doi.org/10.1016/j.jamcollsurg.2017.06.017</w:t>
              </w:r>
            </w:hyperlink>
            <w:r w:rsidR="00B94EF9">
              <w:rPr>
                <w:rFonts w:eastAsia="Times New Roman" w:cstheme="minorHAnsi"/>
                <w:color w:val="0563C1" w:themeColor="hyperlink"/>
                <w:u w:val="single"/>
              </w:rPr>
              <w:t>.</w:t>
            </w:r>
            <w:r w:rsidRPr="00BB12F7">
              <w:rPr>
                <w:rFonts w:eastAsia="Times New Roman" w:cstheme="minorHAnsi"/>
                <w:color w:val="000000"/>
              </w:rPr>
              <w:t xml:space="preserve"> </w:t>
            </w:r>
          </w:p>
        </w:tc>
      </w:tr>
      <w:tr w:rsidR="00DA32AD" w:rsidRPr="00905392" w14:paraId="00A9B258" w14:textId="77777777" w:rsidTr="00D003A0">
        <w:trPr>
          <w:trHeight w:val="350"/>
        </w:trPr>
        <w:tc>
          <w:tcPr>
            <w:tcW w:w="10980" w:type="dxa"/>
            <w:hideMark/>
          </w:tcPr>
          <w:p w14:paraId="4B290B77" w14:textId="334B605C"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r w:rsidRPr="00DD529B">
              <w:rPr>
                <w:rFonts w:eastAsia="Times New Roman" w:cstheme="minorHAnsi"/>
                <w:color w:val="000000"/>
              </w:rPr>
              <w:t xml:space="preserve">Childers CP, Siletz AE, Singer ES, </w:t>
            </w:r>
            <w:r w:rsidR="0025268E">
              <w:rPr>
                <w:rFonts w:eastAsia="Times New Roman" w:cstheme="minorHAnsi"/>
                <w:color w:val="000000"/>
              </w:rPr>
              <w:t>et al</w:t>
            </w:r>
            <w:r w:rsidRPr="00DD529B">
              <w:rPr>
                <w:rFonts w:eastAsia="Times New Roman" w:cstheme="minorHAnsi"/>
                <w:color w:val="000000"/>
              </w:rPr>
              <w:t xml:space="preserve">. Surgical </w:t>
            </w:r>
            <w:r w:rsidR="008A4CA8" w:rsidRPr="00DD529B">
              <w:rPr>
                <w:rFonts w:eastAsia="Times New Roman" w:cstheme="minorHAnsi"/>
                <w:color w:val="000000"/>
              </w:rPr>
              <w:t xml:space="preserve">technical evidence review for elective total joint replacement conducted for the </w:t>
            </w:r>
            <w:r w:rsidRPr="00DD529B">
              <w:rPr>
                <w:rFonts w:eastAsia="Times New Roman" w:cstheme="minorHAnsi"/>
                <w:color w:val="000000"/>
              </w:rPr>
              <w:t xml:space="preserve">AHRQ Safety Program for Improving Surgical Care and Recovery. </w:t>
            </w:r>
            <w:proofErr w:type="spellStart"/>
            <w:r w:rsidRPr="00DD529B">
              <w:rPr>
                <w:rFonts w:eastAsia="Times New Roman" w:cstheme="minorHAnsi"/>
                <w:color w:val="000000"/>
              </w:rPr>
              <w:t>Geriatr</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Orthop</w:t>
            </w:r>
            <w:proofErr w:type="spellEnd"/>
            <w:r w:rsidRPr="00DD529B">
              <w:rPr>
                <w:rFonts w:eastAsia="Times New Roman" w:cstheme="minorHAnsi"/>
                <w:color w:val="000000"/>
              </w:rPr>
              <w:t xml:space="preserve"> Surg </w:t>
            </w:r>
            <w:proofErr w:type="spellStart"/>
            <w:r w:rsidRPr="00DD529B">
              <w:rPr>
                <w:rFonts w:eastAsia="Times New Roman" w:cstheme="minorHAnsi"/>
                <w:color w:val="000000"/>
              </w:rPr>
              <w:t>Rehabil</w:t>
            </w:r>
            <w:proofErr w:type="spellEnd"/>
            <w:r w:rsidRPr="00DD529B">
              <w:rPr>
                <w:rFonts w:eastAsia="Times New Roman" w:cstheme="minorHAnsi"/>
                <w:color w:val="000000"/>
              </w:rPr>
              <w:t xml:space="preserve">. 2018 Feb 12;9:2151458518754451. PMID: 29468091; PMCID: PMC5813847. </w:t>
            </w:r>
            <w:hyperlink r:id="rId26" w:history="1">
              <w:r w:rsidRPr="00DD529B">
                <w:rPr>
                  <w:rFonts w:eastAsia="Times New Roman" w:cstheme="minorHAnsi"/>
                  <w:color w:val="0563C1" w:themeColor="hyperlink"/>
                  <w:u w:val="single"/>
                </w:rPr>
                <w:t>https://doi.org/10.1177%2F2151458518754451</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67AD16C6" w14:textId="77777777" w:rsidTr="00D003A0">
        <w:trPr>
          <w:trHeight w:val="350"/>
        </w:trPr>
        <w:tc>
          <w:tcPr>
            <w:tcW w:w="10980" w:type="dxa"/>
            <w:noWrap/>
            <w:hideMark/>
          </w:tcPr>
          <w:p w14:paraId="092B92D8" w14:textId="70839B5C"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bookmarkStart w:id="49" w:name="_Hlk112840947"/>
            <w:r w:rsidRPr="00DD529B">
              <w:rPr>
                <w:rFonts w:eastAsia="Times New Roman" w:cstheme="minorHAnsi"/>
                <w:color w:val="000000"/>
              </w:rPr>
              <w:t xml:space="preserve">Ban KA, Gibbons MM, Ko CY, </w:t>
            </w:r>
            <w:r w:rsidR="0025268E">
              <w:rPr>
                <w:rFonts w:eastAsia="Times New Roman" w:cstheme="minorHAnsi"/>
                <w:color w:val="000000"/>
              </w:rPr>
              <w:t>et al</w:t>
            </w:r>
            <w:r w:rsidRPr="00DD529B">
              <w:rPr>
                <w:rFonts w:eastAsia="Times New Roman" w:cstheme="minorHAnsi"/>
                <w:color w:val="000000"/>
              </w:rPr>
              <w:t xml:space="preserve">. Evidence </w:t>
            </w:r>
            <w:r w:rsidR="008A4CA8" w:rsidRPr="00DD529B">
              <w:rPr>
                <w:rFonts w:eastAsia="Times New Roman" w:cstheme="minorHAnsi"/>
                <w:color w:val="000000"/>
              </w:rPr>
              <w:t xml:space="preserve">review conducted </w:t>
            </w:r>
            <w:r w:rsidRPr="00DD529B">
              <w:rPr>
                <w:rFonts w:eastAsia="Times New Roman" w:cstheme="minorHAnsi"/>
                <w:color w:val="000000"/>
              </w:rPr>
              <w:t xml:space="preserve">for the Agency for Healthcare Research and Quality Safety Program for Improving Surgical Care and Recovery: </w:t>
            </w:r>
            <w:r w:rsidR="008A4CA8" w:rsidRPr="00DD529B">
              <w:rPr>
                <w:rFonts w:eastAsia="Times New Roman" w:cstheme="minorHAnsi"/>
                <w:color w:val="000000"/>
              </w:rPr>
              <w:t>focus on anesthesiology for colorectal surgery</w:t>
            </w:r>
            <w:r w:rsidRPr="00DD529B">
              <w:rPr>
                <w:rFonts w:eastAsia="Times New Roman" w:cstheme="minorHAnsi"/>
                <w:color w:val="000000"/>
              </w:rPr>
              <w:t xml:space="preserve">.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Analg</w:t>
            </w:r>
            <w:proofErr w:type="spellEnd"/>
            <w:r w:rsidRPr="00DD529B">
              <w:rPr>
                <w:rFonts w:eastAsia="Times New Roman" w:cstheme="minorHAnsi"/>
                <w:color w:val="000000"/>
              </w:rPr>
              <w:t xml:space="preserve">. 2019 May;128(5):879-89. PMID: 29649026. </w:t>
            </w:r>
            <w:bookmarkEnd w:id="49"/>
            <w:r w:rsidR="00D003A0">
              <w:fldChar w:fldCharType="begin"/>
            </w:r>
            <w:r w:rsidR="00D003A0">
              <w:instrText xml:space="preserve"> HYPERLINK "https://doi.org/10.1213/ANE.0000000000003366" </w:instrText>
            </w:r>
            <w:r w:rsidR="00D003A0">
              <w:fldChar w:fldCharType="separate"/>
            </w:r>
            <w:r w:rsidRPr="00DD529B">
              <w:rPr>
                <w:rFonts w:eastAsia="Times New Roman" w:cstheme="minorHAnsi"/>
                <w:color w:val="0563C1" w:themeColor="hyperlink"/>
                <w:u w:val="single"/>
              </w:rPr>
              <w:t>https://doi.org/10.1213/ANE.0000000000003366</w:t>
            </w:r>
            <w:r w:rsidR="00D003A0">
              <w:rPr>
                <w:rFonts w:eastAsia="Times New Roman" w:cstheme="minorHAnsi"/>
                <w:color w:val="0563C1" w:themeColor="hyperlink"/>
                <w:u w:val="single"/>
              </w:rPr>
              <w:fldChar w:fldCharType="end"/>
            </w:r>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66ADD99C" w14:textId="77777777" w:rsidTr="00D003A0">
        <w:trPr>
          <w:trHeight w:val="350"/>
        </w:trPr>
        <w:tc>
          <w:tcPr>
            <w:tcW w:w="10980" w:type="dxa"/>
            <w:noWrap/>
            <w:hideMark/>
          </w:tcPr>
          <w:p w14:paraId="764F9902" w14:textId="0F8E1A37"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r w:rsidRPr="00DD529B">
              <w:rPr>
                <w:rFonts w:eastAsia="Times New Roman" w:cstheme="minorHAnsi"/>
                <w:color w:val="000000"/>
              </w:rPr>
              <w:t xml:space="preserve">Siletz A, Childers CP, </w:t>
            </w:r>
            <w:proofErr w:type="spellStart"/>
            <w:r w:rsidRPr="00DD529B">
              <w:rPr>
                <w:rFonts w:eastAsia="Times New Roman" w:cstheme="minorHAnsi"/>
                <w:color w:val="000000"/>
              </w:rPr>
              <w:t>Faltermeier</w:t>
            </w:r>
            <w:proofErr w:type="spellEnd"/>
            <w:r w:rsidRPr="00DD529B">
              <w:rPr>
                <w:rFonts w:eastAsia="Times New Roman" w:cstheme="minorHAnsi"/>
                <w:color w:val="000000"/>
              </w:rPr>
              <w:t xml:space="preserve"> C, </w:t>
            </w:r>
            <w:r w:rsidR="0025268E">
              <w:rPr>
                <w:rFonts w:eastAsia="Times New Roman" w:cstheme="minorHAnsi"/>
                <w:color w:val="000000"/>
              </w:rPr>
              <w:t>et al</w:t>
            </w:r>
            <w:r w:rsidRPr="00DD529B">
              <w:rPr>
                <w:rFonts w:eastAsia="Times New Roman" w:cstheme="minorHAnsi"/>
                <w:color w:val="000000"/>
              </w:rPr>
              <w:t xml:space="preserve">. Surgical </w:t>
            </w:r>
            <w:r w:rsidR="008A4CA8" w:rsidRPr="00DD529B">
              <w:rPr>
                <w:rFonts w:eastAsia="Times New Roman" w:cstheme="minorHAnsi"/>
                <w:color w:val="000000"/>
              </w:rPr>
              <w:t xml:space="preserve">technical evidence review of hip fracture surgery conducted </w:t>
            </w:r>
            <w:r w:rsidRPr="00DD529B">
              <w:rPr>
                <w:rFonts w:eastAsia="Times New Roman" w:cstheme="minorHAnsi"/>
                <w:color w:val="000000"/>
              </w:rPr>
              <w:t xml:space="preserve">for the AHRQ Safety Program for Improving Surgical Care and Recovery. </w:t>
            </w:r>
            <w:proofErr w:type="spellStart"/>
            <w:r w:rsidRPr="00DD529B">
              <w:rPr>
                <w:rFonts w:eastAsia="Times New Roman" w:cstheme="minorHAnsi"/>
                <w:color w:val="000000"/>
              </w:rPr>
              <w:t>Geriatr</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Orthop</w:t>
            </w:r>
            <w:proofErr w:type="spellEnd"/>
            <w:r w:rsidRPr="00DD529B">
              <w:rPr>
                <w:rFonts w:eastAsia="Times New Roman" w:cstheme="minorHAnsi"/>
                <w:color w:val="000000"/>
              </w:rPr>
              <w:t xml:space="preserve"> Surg </w:t>
            </w:r>
            <w:proofErr w:type="spellStart"/>
            <w:r w:rsidRPr="00DD529B">
              <w:rPr>
                <w:rFonts w:eastAsia="Times New Roman" w:cstheme="minorHAnsi"/>
                <w:color w:val="000000"/>
              </w:rPr>
              <w:t>Rehabil</w:t>
            </w:r>
            <w:proofErr w:type="spellEnd"/>
            <w:r w:rsidRPr="00DD529B">
              <w:rPr>
                <w:rFonts w:eastAsia="Times New Roman" w:cstheme="minorHAnsi"/>
                <w:color w:val="000000"/>
              </w:rPr>
              <w:t xml:space="preserve">. 2018 May 20;9:2151459318769215. PMID: 29844947; PMCID: PMC5964861. </w:t>
            </w:r>
            <w:hyperlink r:id="rId27" w:history="1">
              <w:r w:rsidRPr="00DD529B">
                <w:rPr>
                  <w:rFonts w:eastAsia="Times New Roman" w:cstheme="minorHAnsi"/>
                  <w:color w:val="0563C1" w:themeColor="hyperlink"/>
                  <w:u w:val="single"/>
                </w:rPr>
                <w:t>https://doi.org/10.1177/2151459318769215</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3A31BCE1" w14:textId="77777777" w:rsidTr="00D003A0">
        <w:trPr>
          <w:trHeight w:val="350"/>
        </w:trPr>
        <w:tc>
          <w:tcPr>
            <w:tcW w:w="10980" w:type="dxa"/>
            <w:hideMark/>
          </w:tcPr>
          <w:p w14:paraId="3682277D" w14:textId="1671CC94"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proofErr w:type="spellStart"/>
            <w:r w:rsidRPr="00DD529B">
              <w:rPr>
                <w:rFonts w:eastAsia="Times New Roman" w:cstheme="minorHAnsi"/>
                <w:color w:val="000000"/>
              </w:rPr>
              <w:t>Soffin</w:t>
            </w:r>
            <w:proofErr w:type="spellEnd"/>
            <w:r w:rsidRPr="00DD529B">
              <w:rPr>
                <w:rFonts w:eastAsia="Times New Roman" w:cstheme="minorHAnsi"/>
                <w:color w:val="000000"/>
              </w:rPr>
              <w:t xml:space="preserve"> EM, Gibbons MM, Ko CY, </w:t>
            </w:r>
            <w:r w:rsidR="0025268E">
              <w:rPr>
                <w:rFonts w:eastAsia="Times New Roman" w:cstheme="minorHAnsi"/>
                <w:color w:val="000000"/>
              </w:rPr>
              <w:t>et al</w:t>
            </w:r>
            <w:r w:rsidRPr="00DD529B">
              <w:rPr>
                <w:rFonts w:eastAsia="Times New Roman" w:cstheme="minorHAnsi"/>
                <w:color w:val="000000"/>
              </w:rPr>
              <w:t xml:space="preserve">. Evidence </w:t>
            </w:r>
            <w:r w:rsidR="008A4CA8" w:rsidRPr="00DD529B">
              <w:rPr>
                <w:rFonts w:eastAsia="Times New Roman" w:cstheme="minorHAnsi"/>
                <w:color w:val="000000"/>
              </w:rPr>
              <w:t xml:space="preserve">review conducted </w:t>
            </w:r>
            <w:r w:rsidRPr="00DD529B">
              <w:rPr>
                <w:rFonts w:eastAsia="Times New Roman" w:cstheme="minorHAnsi"/>
                <w:color w:val="000000"/>
              </w:rPr>
              <w:t xml:space="preserve">for the Agency for Healthcare Research and Quality Safety Program for Improving Surgical Care and Recovery: </w:t>
            </w:r>
            <w:r w:rsidR="008A4CA8" w:rsidRPr="00DD529B">
              <w:rPr>
                <w:rFonts w:eastAsia="Times New Roman" w:cstheme="minorHAnsi"/>
                <w:color w:val="000000"/>
              </w:rPr>
              <w:t>focus on anesthesiology for total knee arthroplasty</w:t>
            </w:r>
            <w:r w:rsidRPr="00DD529B">
              <w:rPr>
                <w:rFonts w:eastAsia="Times New Roman" w:cstheme="minorHAnsi"/>
                <w:color w:val="000000"/>
              </w:rPr>
              <w:t xml:space="preserve">.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Analg</w:t>
            </w:r>
            <w:proofErr w:type="spellEnd"/>
            <w:r w:rsidRPr="00DD529B">
              <w:rPr>
                <w:rFonts w:eastAsia="Times New Roman" w:cstheme="minorHAnsi"/>
                <w:color w:val="000000"/>
              </w:rPr>
              <w:t xml:space="preserve">. 2019 Mar;128(3):441-53. PMID: 29889710. </w:t>
            </w:r>
            <w:hyperlink r:id="rId28" w:history="1">
              <w:r w:rsidRPr="00DD529B">
                <w:rPr>
                  <w:rFonts w:eastAsia="Times New Roman" w:cstheme="minorHAnsi"/>
                  <w:color w:val="0563C1" w:themeColor="hyperlink"/>
                  <w:u w:val="single"/>
                </w:rPr>
                <w:t>https://doi.org/10.1213/ANE.0000000000003564</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0F33220C" w14:textId="77777777" w:rsidTr="00D003A0">
        <w:trPr>
          <w:trHeight w:val="350"/>
        </w:trPr>
        <w:tc>
          <w:tcPr>
            <w:tcW w:w="10980" w:type="dxa"/>
            <w:noWrap/>
            <w:hideMark/>
          </w:tcPr>
          <w:p w14:paraId="2127CEBE" w14:textId="7E7E3E44"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proofErr w:type="spellStart"/>
            <w:r w:rsidRPr="00DD529B">
              <w:rPr>
                <w:rFonts w:eastAsia="Times New Roman" w:cstheme="minorHAnsi"/>
                <w:color w:val="000000"/>
              </w:rPr>
              <w:t>Kalogera</w:t>
            </w:r>
            <w:proofErr w:type="spellEnd"/>
            <w:r w:rsidRPr="00DD529B">
              <w:rPr>
                <w:rFonts w:eastAsia="Times New Roman" w:cstheme="minorHAnsi"/>
                <w:color w:val="000000"/>
              </w:rPr>
              <w:t xml:space="preserve"> E, Nelson G, Liu J, </w:t>
            </w:r>
            <w:r w:rsidR="008A4CA8">
              <w:rPr>
                <w:rFonts w:eastAsia="Times New Roman" w:cstheme="minorHAnsi"/>
                <w:color w:val="000000"/>
              </w:rPr>
              <w:t>et al</w:t>
            </w:r>
            <w:r w:rsidRPr="00DD529B">
              <w:rPr>
                <w:rFonts w:eastAsia="Times New Roman" w:cstheme="minorHAnsi"/>
                <w:color w:val="000000"/>
              </w:rPr>
              <w:t xml:space="preserve">. Surgical technical evidence review for gynecologic surgery conducted for the Agency for Healthcare Research and Quality Safety Program for Improving Surgical Care and Recovery. Am J </w:t>
            </w:r>
            <w:proofErr w:type="spellStart"/>
            <w:r w:rsidRPr="00DD529B">
              <w:rPr>
                <w:rFonts w:eastAsia="Times New Roman" w:cstheme="minorHAnsi"/>
                <w:color w:val="000000"/>
              </w:rPr>
              <w:t>Obstet</w:t>
            </w:r>
            <w:proofErr w:type="spellEnd"/>
            <w:r w:rsidRPr="00DD529B">
              <w:rPr>
                <w:rFonts w:eastAsia="Times New Roman" w:cstheme="minorHAnsi"/>
                <w:color w:val="000000"/>
              </w:rPr>
              <w:t xml:space="preserve"> Gynecol. 2018 Dec;219(6):563.e1-563.e19. </w:t>
            </w:r>
            <w:proofErr w:type="spellStart"/>
            <w:r w:rsidRPr="00DD529B">
              <w:rPr>
                <w:rFonts w:eastAsia="Times New Roman" w:cstheme="minorHAnsi"/>
                <w:color w:val="000000"/>
              </w:rPr>
              <w:t>Epub</w:t>
            </w:r>
            <w:proofErr w:type="spellEnd"/>
            <w:r w:rsidRPr="00DD529B">
              <w:rPr>
                <w:rFonts w:eastAsia="Times New Roman" w:cstheme="minorHAnsi"/>
                <w:color w:val="000000"/>
              </w:rPr>
              <w:t xml:space="preserve"> 2018 Jul 19. PMID: 30031749.</w:t>
            </w:r>
            <w:r w:rsidRPr="00DD529B">
              <w:rPr>
                <w:rFonts w:eastAsia="Times New Roman" w:cstheme="minorHAnsi"/>
                <w:b/>
                <w:color w:val="000000"/>
              </w:rPr>
              <w:t xml:space="preserve"> </w:t>
            </w:r>
            <w:hyperlink r:id="rId29" w:history="1">
              <w:r w:rsidRPr="00DD529B">
                <w:rPr>
                  <w:rFonts w:eastAsia="Times New Roman" w:cstheme="minorHAnsi"/>
                  <w:color w:val="0563C1" w:themeColor="hyperlink"/>
                  <w:u w:val="single"/>
                </w:rPr>
                <w:t>https://doi.org/10.1016/j.ajog.2018.07.014</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78202D76" w14:textId="77777777" w:rsidTr="00D003A0">
        <w:trPr>
          <w:trHeight w:val="350"/>
        </w:trPr>
        <w:tc>
          <w:tcPr>
            <w:tcW w:w="10980" w:type="dxa"/>
            <w:noWrap/>
            <w:hideMark/>
          </w:tcPr>
          <w:p w14:paraId="37ADE3BA" w14:textId="4C27A9A5"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proofErr w:type="spellStart"/>
            <w:r w:rsidRPr="00DD529B">
              <w:rPr>
                <w:rFonts w:eastAsia="Times New Roman" w:cstheme="minorHAnsi"/>
                <w:color w:val="000000"/>
              </w:rPr>
              <w:t>Soffin</w:t>
            </w:r>
            <w:proofErr w:type="spellEnd"/>
            <w:r w:rsidRPr="00DD529B">
              <w:rPr>
                <w:rFonts w:eastAsia="Times New Roman" w:cstheme="minorHAnsi"/>
                <w:color w:val="000000"/>
              </w:rPr>
              <w:t xml:space="preserve"> EM, Gibbons MM, Ko CY, </w:t>
            </w:r>
            <w:r w:rsidR="0025268E">
              <w:rPr>
                <w:rFonts w:eastAsia="Times New Roman" w:cstheme="minorHAnsi"/>
                <w:color w:val="000000"/>
              </w:rPr>
              <w:t>et al.</w:t>
            </w:r>
            <w:r w:rsidRPr="00DD529B">
              <w:rPr>
                <w:rFonts w:eastAsia="Times New Roman" w:cstheme="minorHAnsi"/>
                <w:color w:val="000000"/>
              </w:rPr>
              <w:t xml:space="preserve"> Evidence </w:t>
            </w:r>
            <w:r w:rsidR="008A4CA8" w:rsidRPr="00DD529B">
              <w:rPr>
                <w:rFonts w:eastAsia="Times New Roman" w:cstheme="minorHAnsi"/>
                <w:color w:val="000000"/>
              </w:rPr>
              <w:t xml:space="preserve">review conducted </w:t>
            </w:r>
            <w:r w:rsidRPr="00DD529B">
              <w:rPr>
                <w:rFonts w:eastAsia="Times New Roman" w:cstheme="minorHAnsi"/>
                <w:color w:val="000000"/>
              </w:rPr>
              <w:t>for the Agency for Healthcare Research and Quality Safety Program for Improving Surgical Care and Recovery</w:t>
            </w:r>
            <w:r w:rsidR="008A4CA8" w:rsidRPr="00DD529B">
              <w:rPr>
                <w:rFonts w:eastAsia="Times New Roman" w:cstheme="minorHAnsi"/>
                <w:color w:val="000000"/>
              </w:rPr>
              <w:t>: focus on anesthesiology for total hip arthroplast</w:t>
            </w:r>
            <w:r w:rsidRPr="00DD529B">
              <w:rPr>
                <w:rFonts w:eastAsia="Times New Roman" w:cstheme="minorHAnsi"/>
                <w:color w:val="000000"/>
              </w:rPr>
              <w:t xml:space="preserve">y.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Analg</w:t>
            </w:r>
            <w:proofErr w:type="spellEnd"/>
            <w:r w:rsidRPr="00DD529B">
              <w:rPr>
                <w:rFonts w:eastAsia="Times New Roman" w:cstheme="minorHAnsi"/>
                <w:color w:val="000000"/>
              </w:rPr>
              <w:t xml:space="preserve">. 2019 Mar;128(3):454-465. PMID: 30044289. </w:t>
            </w:r>
            <w:hyperlink r:id="rId30" w:history="1">
              <w:r w:rsidRPr="00DD529B">
                <w:rPr>
                  <w:rFonts w:eastAsia="Times New Roman" w:cstheme="minorHAnsi"/>
                  <w:color w:val="0563C1" w:themeColor="hyperlink"/>
                  <w:u w:val="single"/>
                </w:rPr>
                <w:t>https://doi.org/10.1213/ANE.0000000000003663</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p w14:paraId="25062758" w14:textId="77777777" w:rsidR="00DA32AD" w:rsidRPr="00905392" w:rsidRDefault="00DA32AD" w:rsidP="00D003A0">
            <w:pPr>
              <w:spacing w:after="120" w:line="240" w:lineRule="auto"/>
              <w:ind w:left="345" w:hanging="345"/>
              <w:contextualSpacing/>
              <w:rPr>
                <w:rFonts w:eastAsia="Times New Roman" w:cstheme="minorHAnsi"/>
                <w:color w:val="000000"/>
              </w:rPr>
            </w:pPr>
          </w:p>
        </w:tc>
      </w:tr>
      <w:tr w:rsidR="00DA32AD" w:rsidRPr="00905392" w14:paraId="28974D1E" w14:textId="77777777" w:rsidTr="00D003A0">
        <w:trPr>
          <w:trHeight w:val="350"/>
        </w:trPr>
        <w:tc>
          <w:tcPr>
            <w:tcW w:w="10980" w:type="dxa"/>
            <w:noWrap/>
          </w:tcPr>
          <w:p w14:paraId="057D078D" w14:textId="337AFA20" w:rsidR="00DA32AD" w:rsidRPr="00DD529B" w:rsidRDefault="00DA32AD" w:rsidP="00DA32AD">
            <w:pPr>
              <w:pStyle w:val="ListParagraph"/>
              <w:numPr>
                <w:ilvl w:val="0"/>
                <w:numId w:val="52"/>
              </w:numPr>
              <w:spacing w:after="120" w:line="240" w:lineRule="auto"/>
              <w:ind w:left="345" w:hanging="345"/>
              <w:rPr>
                <w:rFonts w:eastAsia="Times New Roman" w:cstheme="minorHAnsi"/>
                <w:color w:val="000000"/>
              </w:rPr>
            </w:pPr>
            <w:bookmarkStart w:id="50" w:name="_Hlk112841369"/>
            <w:proofErr w:type="spellStart"/>
            <w:r w:rsidRPr="00DD529B">
              <w:rPr>
                <w:rFonts w:eastAsia="Times New Roman" w:cstheme="minorHAnsi"/>
                <w:color w:val="000000"/>
              </w:rPr>
              <w:t>Soffin</w:t>
            </w:r>
            <w:proofErr w:type="spellEnd"/>
            <w:r w:rsidRPr="00DD529B">
              <w:rPr>
                <w:rFonts w:eastAsia="Times New Roman" w:cstheme="minorHAnsi"/>
                <w:color w:val="000000"/>
              </w:rPr>
              <w:t xml:space="preserve"> EM, Gibbons MM, Wick EC, </w:t>
            </w:r>
            <w:r w:rsidR="0025268E">
              <w:rPr>
                <w:rFonts w:eastAsia="Times New Roman" w:cstheme="minorHAnsi"/>
                <w:color w:val="000000"/>
              </w:rPr>
              <w:t>et al</w:t>
            </w:r>
            <w:r w:rsidRPr="00DD529B">
              <w:rPr>
                <w:rFonts w:eastAsia="Times New Roman" w:cstheme="minorHAnsi"/>
                <w:color w:val="000000"/>
              </w:rPr>
              <w:t xml:space="preserve">. Evidence </w:t>
            </w:r>
            <w:r w:rsidR="008A4CA8" w:rsidRPr="00DD529B">
              <w:rPr>
                <w:rFonts w:eastAsia="Times New Roman" w:cstheme="minorHAnsi"/>
                <w:color w:val="000000"/>
              </w:rPr>
              <w:t>review conducted</w:t>
            </w:r>
            <w:r w:rsidRPr="00DD529B">
              <w:rPr>
                <w:rFonts w:eastAsia="Times New Roman" w:cstheme="minorHAnsi"/>
                <w:color w:val="000000"/>
              </w:rPr>
              <w:t xml:space="preserve"> for the Agency for Healthcare Research and Quality Safety Program for Improving Surgical Care and Recovery</w:t>
            </w:r>
            <w:r w:rsidR="008A4CA8" w:rsidRPr="00DD529B">
              <w:rPr>
                <w:rFonts w:eastAsia="Times New Roman" w:cstheme="minorHAnsi"/>
                <w:color w:val="000000"/>
              </w:rPr>
              <w:t>: focus on anesthesiology for hip fracture surgery</w:t>
            </w:r>
            <w:r w:rsidRPr="00DD529B">
              <w:rPr>
                <w:rFonts w:eastAsia="Times New Roman" w:cstheme="minorHAnsi"/>
                <w:color w:val="000000"/>
              </w:rPr>
              <w:t xml:space="preserve">.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Analg</w:t>
            </w:r>
            <w:proofErr w:type="spellEnd"/>
            <w:r w:rsidRPr="00DD529B">
              <w:rPr>
                <w:rFonts w:eastAsia="Times New Roman" w:cstheme="minorHAnsi"/>
                <w:color w:val="000000"/>
              </w:rPr>
              <w:t>. 2019 Jun;128(6):1107-17. PMID: 31094775.</w:t>
            </w:r>
            <w:bookmarkEnd w:id="50"/>
            <w:r w:rsidRPr="00DD529B">
              <w:rPr>
                <w:rFonts w:eastAsia="Times New Roman" w:cstheme="minorHAnsi"/>
                <w:color w:val="000000"/>
                <w:u w:val="single"/>
              </w:rPr>
              <w:t xml:space="preserve"> </w:t>
            </w:r>
            <w:hyperlink r:id="rId31" w:history="1">
              <w:r w:rsidRPr="00DD529B">
                <w:rPr>
                  <w:rStyle w:val="Hyperlink"/>
                  <w:rFonts w:eastAsia="Times New Roman" w:cstheme="minorHAnsi"/>
                </w:rPr>
                <w:t>https://doi.org/10.1213/ANE.0000000000003925</w:t>
              </w:r>
            </w:hyperlink>
            <w:r w:rsidR="00B94EF9">
              <w:rPr>
                <w:rStyle w:val="Hyperlink"/>
                <w:rFonts w:eastAsia="Times New Roman" w:cstheme="minorHAnsi"/>
              </w:rPr>
              <w:t>.</w:t>
            </w:r>
            <w:r w:rsidRPr="00DD529B">
              <w:rPr>
                <w:rFonts w:eastAsia="Times New Roman" w:cstheme="minorHAnsi"/>
                <w:color w:val="000000"/>
              </w:rPr>
              <w:t xml:space="preserve"> </w:t>
            </w:r>
          </w:p>
        </w:tc>
      </w:tr>
      <w:tr w:rsidR="00DA32AD" w:rsidRPr="00905392" w14:paraId="07AC4289" w14:textId="77777777" w:rsidTr="00D003A0">
        <w:trPr>
          <w:trHeight w:val="350"/>
        </w:trPr>
        <w:tc>
          <w:tcPr>
            <w:tcW w:w="10980" w:type="dxa"/>
            <w:noWrap/>
          </w:tcPr>
          <w:p w14:paraId="4F7647C5" w14:textId="6A8296DB" w:rsidR="00DA32AD" w:rsidRPr="00DD529B" w:rsidRDefault="00DA32AD" w:rsidP="00DA32AD">
            <w:pPr>
              <w:pStyle w:val="ListParagraph"/>
              <w:numPr>
                <w:ilvl w:val="0"/>
                <w:numId w:val="52"/>
              </w:numPr>
              <w:autoSpaceDE w:val="0"/>
              <w:autoSpaceDN w:val="0"/>
              <w:adjustRightInd w:val="0"/>
              <w:spacing w:after="120" w:line="240" w:lineRule="auto"/>
              <w:ind w:left="345" w:hanging="345"/>
              <w:rPr>
                <w:rFonts w:eastAsia="Times New Roman" w:cstheme="minorHAnsi"/>
                <w:color w:val="000000"/>
              </w:rPr>
            </w:pPr>
            <w:r w:rsidRPr="00DD529B">
              <w:rPr>
                <w:rFonts w:eastAsia="Times New Roman" w:cstheme="minorHAnsi"/>
                <w:color w:val="000000"/>
              </w:rPr>
              <w:t xml:space="preserve">Grant MC, Gibbons MM, Ko CY, </w:t>
            </w:r>
            <w:r w:rsidR="007A6E7A">
              <w:rPr>
                <w:rFonts w:eastAsia="Times New Roman" w:cstheme="minorHAnsi"/>
                <w:color w:val="000000"/>
              </w:rPr>
              <w:t>et al</w:t>
            </w:r>
            <w:r w:rsidRPr="00DD529B">
              <w:rPr>
                <w:rFonts w:eastAsia="Times New Roman" w:cstheme="minorHAnsi"/>
                <w:color w:val="000000"/>
              </w:rPr>
              <w:t xml:space="preserve">. Evidence review conducted for the AHRQ Safety Program for Improving Surgical Care and Recovery: focus on anesthesiology for gynecologic surgery. Reg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Pain Med. 2019 Feb 7:rapm-2018-100071. </w:t>
            </w:r>
            <w:proofErr w:type="spellStart"/>
            <w:r w:rsidRPr="00DD529B">
              <w:rPr>
                <w:rFonts w:eastAsia="Times New Roman" w:cstheme="minorHAnsi"/>
                <w:color w:val="000000"/>
              </w:rPr>
              <w:t>Epub</w:t>
            </w:r>
            <w:proofErr w:type="spellEnd"/>
            <w:r w:rsidRPr="00DD529B">
              <w:rPr>
                <w:rFonts w:eastAsia="Times New Roman" w:cstheme="minorHAnsi"/>
                <w:color w:val="000000"/>
              </w:rPr>
              <w:t xml:space="preserve"> ahead of print. PMID: 30737316. </w:t>
            </w:r>
            <w:hyperlink r:id="rId32" w:history="1">
              <w:r w:rsidRPr="00DD529B">
                <w:rPr>
                  <w:rFonts w:eastAsia="Times New Roman" w:cstheme="minorHAnsi"/>
                  <w:color w:val="0563C1" w:themeColor="hyperlink"/>
                  <w:u w:val="single"/>
                </w:rPr>
                <w:t>https://doi.org/10.1136/rapm-2018-100071</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5779D153" w14:textId="77777777" w:rsidTr="00D003A0">
        <w:trPr>
          <w:trHeight w:val="350"/>
        </w:trPr>
        <w:tc>
          <w:tcPr>
            <w:tcW w:w="10980" w:type="dxa"/>
            <w:noWrap/>
          </w:tcPr>
          <w:p w14:paraId="76813FCF" w14:textId="2EE233BD" w:rsidR="00DA32AD" w:rsidRPr="00DD529B" w:rsidRDefault="00DA32AD" w:rsidP="00DA32AD">
            <w:pPr>
              <w:pStyle w:val="ListParagraph"/>
              <w:numPr>
                <w:ilvl w:val="0"/>
                <w:numId w:val="52"/>
              </w:numPr>
              <w:shd w:val="clear" w:color="auto" w:fill="FFFFFF"/>
              <w:spacing w:after="120" w:line="240" w:lineRule="auto"/>
              <w:ind w:left="345" w:hanging="345"/>
              <w:rPr>
                <w:rFonts w:eastAsia="Times New Roman" w:cstheme="minorHAnsi"/>
                <w:color w:val="000000"/>
              </w:rPr>
            </w:pPr>
            <w:proofErr w:type="spellStart"/>
            <w:r w:rsidRPr="00DD529B">
              <w:rPr>
                <w:rFonts w:eastAsia="Times New Roman" w:cstheme="minorHAnsi"/>
                <w:color w:val="000000"/>
              </w:rPr>
              <w:t>Hornor</w:t>
            </w:r>
            <w:proofErr w:type="spellEnd"/>
            <w:r w:rsidRPr="00DD529B">
              <w:rPr>
                <w:rFonts w:eastAsia="Times New Roman" w:cstheme="minorHAnsi"/>
                <w:color w:val="000000"/>
              </w:rPr>
              <w:t xml:space="preserve"> MA, Liu JY, Hu QL, </w:t>
            </w:r>
            <w:r w:rsidR="008A4CA8">
              <w:rPr>
                <w:rFonts w:eastAsia="Times New Roman" w:cstheme="minorHAnsi"/>
                <w:color w:val="000000"/>
              </w:rPr>
              <w:t>et al</w:t>
            </w:r>
            <w:r w:rsidRPr="00DD529B">
              <w:rPr>
                <w:rFonts w:eastAsia="Times New Roman" w:cstheme="minorHAnsi"/>
                <w:color w:val="000000"/>
              </w:rPr>
              <w:t xml:space="preserve">. Surgical </w:t>
            </w:r>
            <w:r w:rsidR="008A4CA8" w:rsidRPr="00DD529B">
              <w:rPr>
                <w:rFonts w:eastAsia="Times New Roman" w:cstheme="minorHAnsi"/>
                <w:color w:val="000000"/>
              </w:rPr>
              <w:t xml:space="preserve">technical evidence review for acute appendectomy conducted for the </w:t>
            </w:r>
            <w:r w:rsidRPr="00DD529B">
              <w:rPr>
                <w:rFonts w:eastAsia="Times New Roman" w:cstheme="minorHAnsi"/>
                <w:color w:val="000000"/>
              </w:rPr>
              <w:t xml:space="preserve">Agency for Healthcare Research and Quality Safety Program for Improving Surgical Care and Recovery. J Am Coll Surg. 2018 Dec;227(6):605-617.e2. </w:t>
            </w:r>
            <w:proofErr w:type="spellStart"/>
            <w:r w:rsidRPr="00DD529B">
              <w:rPr>
                <w:rFonts w:eastAsia="Times New Roman" w:cstheme="minorHAnsi"/>
                <w:color w:val="000000"/>
              </w:rPr>
              <w:t>Epub</w:t>
            </w:r>
            <w:proofErr w:type="spellEnd"/>
            <w:r w:rsidRPr="00DD529B">
              <w:rPr>
                <w:rFonts w:eastAsia="Times New Roman" w:cstheme="minorHAnsi"/>
                <w:color w:val="000000"/>
              </w:rPr>
              <w:t xml:space="preserve"> 2018 Oct 12. PMID: 30316962.</w:t>
            </w:r>
            <w:r w:rsidRPr="00DD529B">
              <w:rPr>
                <w:rFonts w:eastAsia="Times New Roman" w:cstheme="minorHAnsi"/>
                <w:color w:val="000000"/>
                <w:u w:val="single"/>
              </w:rPr>
              <w:t xml:space="preserve"> </w:t>
            </w:r>
            <w:hyperlink r:id="rId33" w:history="1">
              <w:r w:rsidRPr="00DD529B">
                <w:rPr>
                  <w:rStyle w:val="Hyperlink"/>
                  <w:rFonts w:eastAsia="Times New Roman" w:cstheme="minorHAnsi"/>
                </w:rPr>
                <w:t>https://doi.org/10.1016/j.jamcollsurg.2018.09.024</w:t>
              </w:r>
            </w:hyperlink>
            <w:r w:rsidR="00B94EF9">
              <w:rPr>
                <w:rStyle w:val="Hyperlink"/>
                <w:rFonts w:eastAsia="Times New Roman" w:cstheme="minorHAnsi"/>
              </w:rPr>
              <w:t>.</w:t>
            </w:r>
            <w:r w:rsidRPr="00DD529B">
              <w:rPr>
                <w:rFonts w:eastAsia="Times New Roman" w:cstheme="minorHAnsi"/>
                <w:color w:val="000000"/>
              </w:rPr>
              <w:t xml:space="preserve"> </w:t>
            </w:r>
          </w:p>
        </w:tc>
      </w:tr>
      <w:tr w:rsidR="00DA32AD" w:rsidRPr="00905392" w14:paraId="40448A4B" w14:textId="77777777" w:rsidTr="00D003A0">
        <w:trPr>
          <w:trHeight w:val="350"/>
        </w:trPr>
        <w:tc>
          <w:tcPr>
            <w:tcW w:w="10980" w:type="dxa"/>
            <w:noWrap/>
          </w:tcPr>
          <w:p w14:paraId="776030FE" w14:textId="36E7ADE1" w:rsidR="00DA32AD" w:rsidRPr="00DD529B" w:rsidRDefault="00DA32AD" w:rsidP="00DA32AD">
            <w:pPr>
              <w:pStyle w:val="ListParagraph"/>
              <w:numPr>
                <w:ilvl w:val="0"/>
                <w:numId w:val="52"/>
              </w:numPr>
              <w:shd w:val="clear" w:color="auto" w:fill="FFFFFF"/>
              <w:spacing w:after="120" w:line="240" w:lineRule="auto"/>
              <w:ind w:left="345" w:hanging="345"/>
              <w:rPr>
                <w:rFonts w:eastAsia="Times New Roman" w:cstheme="minorHAnsi"/>
                <w:color w:val="000000"/>
              </w:rPr>
            </w:pPr>
            <w:r w:rsidRPr="00DD529B">
              <w:rPr>
                <w:rFonts w:eastAsia="Times New Roman" w:cstheme="minorHAnsi"/>
                <w:color w:val="000000"/>
              </w:rPr>
              <w:t xml:space="preserve">Grant MC, Gibbons MM, Ko CY, </w:t>
            </w:r>
            <w:r w:rsidR="007A6E7A">
              <w:rPr>
                <w:rFonts w:eastAsia="Times New Roman" w:cstheme="minorHAnsi"/>
                <w:color w:val="000000"/>
              </w:rPr>
              <w:t>et al</w:t>
            </w:r>
            <w:r w:rsidRPr="00DD529B">
              <w:rPr>
                <w:rFonts w:eastAsia="Times New Roman" w:cstheme="minorHAnsi"/>
                <w:color w:val="000000"/>
              </w:rPr>
              <w:t xml:space="preserve">. Evidence </w:t>
            </w:r>
            <w:r w:rsidR="008A4CA8" w:rsidRPr="00DD529B">
              <w:rPr>
                <w:rFonts w:eastAsia="Times New Roman" w:cstheme="minorHAnsi"/>
                <w:color w:val="000000"/>
              </w:rPr>
              <w:t xml:space="preserve">review conducted </w:t>
            </w:r>
            <w:r w:rsidRPr="00DD529B">
              <w:rPr>
                <w:rFonts w:eastAsia="Times New Roman" w:cstheme="minorHAnsi"/>
                <w:color w:val="000000"/>
              </w:rPr>
              <w:t xml:space="preserve">for the Agency for Healthcare Research and Quality Safety Program for Improving Surgical Care and Recovery: </w:t>
            </w:r>
            <w:r w:rsidR="008A4CA8" w:rsidRPr="00DD529B">
              <w:rPr>
                <w:rFonts w:eastAsia="Times New Roman" w:cstheme="minorHAnsi"/>
                <w:color w:val="000000"/>
              </w:rPr>
              <w:t>focus on anesthesiology for bariatric surgery</w:t>
            </w:r>
            <w:r w:rsidRPr="00DD529B">
              <w:rPr>
                <w:rFonts w:eastAsia="Times New Roman" w:cstheme="minorHAnsi"/>
                <w:color w:val="000000"/>
              </w:rPr>
              <w:t xml:space="preserve">. </w:t>
            </w:r>
            <w:proofErr w:type="spellStart"/>
            <w:r w:rsidRPr="00DD529B">
              <w:rPr>
                <w:rFonts w:eastAsia="Times New Roman" w:cstheme="minorHAnsi"/>
                <w:color w:val="000000"/>
              </w:rPr>
              <w:t>Anesth</w:t>
            </w:r>
            <w:proofErr w:type="spellEnd"/>
            <w:r w:rsidRPr="00DD529B">
              <w:rPr>
                <w:rFonts w:eastAsia="Times New Roman" w:cstheme="minorHAnsi"/>
                <w:color w:val="000000"/>
              </w:rPr>
              <w:t xml:space="preserve"> </w:t>
            </w:r>
            <w:proofErr w:type="spellStart"/>
            <w:r w:rsidRPr="00DD529B">
              <w:rPr>
                <w:rFonts w:eastAsia="Times New Roman" w:cstheme="minorHAnsi"/>
                <w:color w:val="000000"/>
              </w:rPr>
              <w:t>Analg</w:t>
            </w:r>
            <w:proofErr w:type="spellEnd"/>
            <w:r w:rsidRPr="00DD529B">
              <w:rPr>
                <w:rFonts w:eastAsia="Times New Roman" w:cstheme="minorHAnsi"/>
                <w:color w:val="000000"/>
              </w:rPr>
              <w:t xml:space="preserve">. 2019 Jul;129(1):51-60. PMID: 30113392. </w:t>
            </w:r>
            <w:hyperlink r:id="rId34" w:history="1">
              <w:r w:rsidRPr="00DD529B">
                <w:rPr>
                  <w:rFonts w:eastAsia="Times New Roman" w:cstheme="minorHAnsi"/>
                  <w:color w:val="0563C1" w:themeColor="hyperlink"/>
                  <w:u w:val="single"/>
                </w:rPr>
                <w:t>https://doi.org/10.1213/ANE.0000000000003696</w:t>
              </w:r>
            </w:hyperlink>
            <w:r w:rsidR="00B94EF9">
              <w:rPr>
                <w:rFonts w:eastAsia="Times New Roman" w:cstheme="minorHAnsi"/>
                <w:color w:val="0563C1" w:themeColor="hyperlink"/>
                <w:u w:val="single"/>
              </w:rPr>
              <w:t>.</w:t>
            </w:r>
            <w:r w:rsidRPr="00DD529B">
              <w:rPr>
                <w:rFonts w:eastAsia="Times New Roman" w:cstheme="minorHAnsi"/>
                <w:color w:val="000000"/>
              </w:rPr>
              <w:t xml:space="preserve"> </w:t>
            </w:r>
          </w:p>
        </w:tc>
      </w:tr>
      <w:tr w:rsidR="00DA32AD" w:rsidRPr="00905392" w14:paraId="098B6E16" w14:textId="77777777" w:rsidTr="00D003A0">
        <w:trPr>
          <w:trHeight w:val="350"/>
        </w:trPr>
        <w:tc>
          <w:tcPr>
            <w:tcW w:w="10980" w:type="dxa"/>
            <w:noWrap/>
          </w:tcPr>
          <w:p w14:paraId="207A2934" w14:textId="1F24F694" w:rsidR="00DA32AD" w:rsidRPr="00DD529B" w:rsidRDefault="00DA32AD" w:rsidP="00DA32AD">
            <w:pPr>
              <w:pStyle w:val="ListParagraph"/>
              <w:numPr>
                <w:ilvl w:val="0"/>
                <w:numId w:val="52"/>
              </w:numPr>
              <w:shd w:val="clear" w:color="auto" w:fill="FFFFFF"/>
              <w:spacing w:after="120" w:line="240" w:lineRule="auto"/>
              <w:ind w:left="345" w:hanging="345"/>
              <w:rPr>
                <w:rFonts w:eastAsia="Times New Roman" w:cstheme="minorHAnsi"/>
                <w:color w:val="000000"/>
              </w:rPr>
            </w:pPr>
            <w:r w:rsidRPr="00DD529B">
              <w:rPr>
                <w:rFonts w:eastAsia="Times New Roman" w:cstheme="minorHAnsi"/>
                <w:color w:val="000000"/>
              </w:rPr>
              <w:t xml:space="preserve">Liu JY, Hu QL, </w:t>
            </w:r>
            <w:proofErr w:type="spellStart"/>
            <w:r w:rsidRPr="00DD529B">
              <w:rPr>
                <w:rFonts w:eastAsia="Times New Roman" w:cstheme="minorHAnsi"/>
                <w:color w:val="000000"/>
              </w:rPr>
              <w:t>Lamaina</w:t>
            </w:r>
            <w:proofErr w:type="spellEnd"/>
            <w:r w:rsidRPr="00DD529B">
              <w:rPr>
                <w:rFonts w:eastAsia="Times New Roman" w:cstheme="minorHAnsi"/>
                <w:color w:val="000000"/>
              </w:rPr>
              <w:t xml:space="preserve"> M, </w:t>
            </w:r>
            <w:r w:rsidR="007A6E7A">
              <w:rPr>
                <w:rFonts w:eastAsia="Times New Roman" w:cstheme="minorHAnsi"/>
                <w:color w:val="000000"/>
              </w:rPr>
              <w:t>et al.</w:t>
            </w:r>
            <w:r w:rsidRPr="00DD529B">
              <w:rPr>
                <w:rFonts w:eastAsia="Times New Roman" w:cstheme="minorHAnsi"/>
                <w:color w:val="000000"/>
              </w:rPr>
              <w:t xml:space="preserve"> Surgical </w:t>
            </w:r>
            <w:r w:rsidR="008A4CA8" w:rsidRPr="00DD529B">
              <w:rPr>
                <w:rFonts w:eastAsia="Times New Roman" w:cstheme="minorHAnsi"/>
                <w:color w:val="000000"/>
              </w:rPr>
              <w:t xml:space="preserve">technical evidence review for acute cholecystectomy conducted </w:t>
            </w:r>
            <w:r w:rsidRPr="00DD529B">
              <w:rPr>
                <w:rFonts w:eastAsia="Times New Roman" w:cstheme="minorHAnsi"/>
                <w:color w:val="000000"/>
              </w:rPr>
              <w:t xml:space="preserve">for the AHRQ Safety Program for Improving Surgical Care and Recovery. J Am Coll Surg. 2020 Mar;230(3):340-54.e1. </w:t>
            </w:r>
            <w:proofErr w:type="spellStart"/>
            <w:r w:rsidRPr="00DD529B">
              <w:rPr>
                <w:rFonts w:eastAsia="Times New Roman" w:cstheme="minorHAnsi"/>
                <w:color w:val="000000"/>
              </w:rPr>
              <w:t>Epub</w:t>
            </w:r>
            <w:proofErr w:type="spellEnd"/>
            <w:r w:rsidRPr="00DD529B">
              <w:rPr>
                <w:rFonts w:eastAsia="Times New Roman" w:cstheme="minorHAnsi"/>
                <w:color w:val="000000"/>
              </w:rPr>
              <w:t xml:space="preserve"> 2019 Dec 26. PMID: 31884063. </w:t>
            </w:r>
            <w:hyperlink r:id="rId35" w:history="1">
              <w:r w:rsidRPr="00DD529B">
                <w:rPr>
                  <w:rStyle w:val="Hyperlink"/>
                  <w:rFonts w:eastAsia="Times New Roman" w:cstheme="minorHAnsi"/>
                </w:rPr>
                <w:t>https://doi.org/10.1016/j.jamcollsurg.2019.11.014</w:t>
              </w:r>
            </w:hyperlink>
            <w:r w:rsidR="00B94EF9">
              <w:rPr>
                <w:rStyle w:val="Hyperlink"/>
                <w:rFonts w:eastAsia="Times New Roman" w:cstheme="minorHAnsi"/>
              </w:rPr>
              <w:t>.</w:t>
            </w:r>
            <w:r w:rsidRPr="00DD529B">
              <w:rPr>
                <w:rFonts w:eastAsia="Times New Roman" w:cstheme="minorHAnsi"/>
                <w:color w:val="000000"/>
              </w:rPr>
              <w:t xml:space="preserve"> </w:t>
            </w:r>
          </w:p>
        </w:tc>
      </w:tr>
      <w:tr w:rsidR="00DA32AD" w:rsidRPr="00905392" w14:paraId="4F191E0B" w14:textId="77777777" w:rsidTr="00D003A0">
        <w:trPr>
          <w:trHeight w:val="350"/>
        </w:trPr>
        <w:tc>
          <w:tcPr>
            <w:tcW w:w="10980" w:type="dxa"/>
            <w:noWrap/>
          </w:tcPr>
          <w:p w14:paraId="450AEC54" w14:textId="6B9D0143" w:rsidR="00DA32AD" w:rsidRPr="00DD529B" w:rsidRDefault="00DA32AD" w:rsidP="00DA32AD">
            <w:pPr>
              <w:pStyle w:val="ListParagraph"/>
              <w:numPr>
                <w:ilvl w:val="0"/>
                <w:numId w:val="52"/>
              </w:numPr>
              <w:shd w:val="clear" w:color="auto" w:fill="FFFFFF"/>
              <w:spacing w:after="120" w:line="240" w:lineRule="auto"/>
              <w:ind w:left="345" w:hanging="345"/>
              <w:rPr>
                <w:rFonts w:eastAsia="Times New Roman" w:cstheme="minorHAnsi"/>
                <w:color w:val="000000"/>
              </w:rPr>
            </w:pPr>
            <w:r w:rsidRPr="00DD529B">
              <w:rPr>
                <w:rFonts w:eastAsia="Times New Roman" w:cstheme="minorHAnsi"/>
                <w:color w:val="000000"/>
              </w:rPr>
              <w:t xml:space="preserve">Hu QL, Grant MC, </w:t>
            </w:r>
            <w:proofErr w:type="spellStart"/>
            <w:r w:rsidRPr="00DD529B">
              <w:rPr>
                <w:rFonts w:eastAsia="Times New Roman" w:cstheme="minorHAnsi"/>
                <w:color w:val="000000"/>
              </w:rPr>
              <w:t>Hornor</w:t>
            </w:r>
            <w:proofErr w:type="spellEnd"/>
            <w:r w:rsidRPr="00DD529B">
              <w:rPr>
                <w:rFonts w:eastAsia="Times New Roman" w:cstheme="minorHAnsi"/>
                <w:color w:val="000000"/>
              </w:rPr>
              <w:t xml:space="preserve"> MA, </w:t>
            </w:r>
            <w:r w:rsidR="007A6E7A">
              <w:rPr>
                <w:rFonts w:eastAsia="Times New Roman" w:cstheme="minorHAnsi"/>
                <w:color w:val="000000"/>
              </w:rPr>
              <w:t>et al</w:t>
            </w:r>
            <w:r w:rsidRPr="00DD529B">
              <w:rPr>
                <w:rFonts w:eastAsia="Times New Roman" w:cstheme="minorHAnsi"/>
                <w:color w:val="000000"/>
              </w:rPr>
              <w:t xml:space="preserve">. Technical </w:t>
            </w:r>
            <w:r w:rsidR="008A4CA8" w:rsidRPr="00DD529B">
              <w:rPr>
                <w:rFonts w:eastAsia="Times New Roman" w:cstheme="minorHAnsi"/>
                <w:color w:val="000000"/>
              </w:rPr>
              <w:t xml:space="preserve">evidence review for emergency major abdominal operation conducted for </w:t>
            </w:r>
            <w:r w:rsidRPr="00DD529B">
              <w:rPr>
                <w:rFonts w:eastAsia="Times New Roman" w:cstheme="minorHAnsi"/>
                <w:color w:val="000000"/>
              </w:rPr>
              <w:t xml:space="preserve">the AHRQ Safety Program for Improving Surgical Care and Recovery. J Am Coll Surg. 2020 Dec;231(6):743-64.e5. </w:t>
            </w:r>
            <w:proofErr w:type="spellStart"/>
            <w:r w:rsidRPr="00DD529B">
              <w:rPr>
                <w:rFonts w:eastAsia="Times New Roman" w:cstheme="minorHAnsi"/>
                <w:color w:val="000000"/>
              </w:rPr>
              <w:t>Epub</w:t>
            </w:r>
            <w:proofErr w:type="spellEnd"/>
            <w:r w:rsidRPr="00DD529B">
              <w:rPr>
                <w:rFonts w:eastAsia="Times New Roman" w:cstheme="minorHAnsi"/>
                <w:color w:val="000000"/>
              </w:rPr>
              <w:t xml:space="preserve"> 2020 Sep 24. PMID: 32979468. </w:t>
            </w:r>
            <w:hyperlink r:id="rId36" w:history="1">
              <w:r w:rsidRPr="00DD529B">
                <w:rPr>
                  <w:rStyle w:val="Hyperlink"/>
                  <w:rFonts w:cstheme="minorHAnsi"/>
                </w:rPr>
                <w:t>https://doi.org/10.1016/j.jamcollsurg.2020.08.772</w:t>
              </w:r>
            </w:hyperlink>
            <w:r w:rsidR="00B94EF9">
              <w:rPr>
                <w:rStyle w:val="Hyperlink"/>
                <w:rFonts w:cstheme="minorHAnsi"/>
              </w:rPr>
              <w:t>.</w:t>
            </w:r>
            <w:r w:rsidRPr="00DD529B">
              <w:rPr>
                <w:rFonts w:cstheme="minorHAnsi"/>
              </w:rPr>
              <w:t xml:space="preserve"> </w:t>
            </w:r>
          </w:p>
        </w:tc>
      </w:tr>
    </w:tbl>
    <w:p w14:paraId="11A2696F" w14:textId="20D579F0" w:rsidR="00DA32AD" w:rsidRDefault="008B1E14" w:rsidP="008B1E14">
      <w:pPr>
        <w:spacing w:before="7680" w:after="0" w:line="240" w:lineRule="auto"/>
        <w:jc w:val="right"/>
      </w:pPr>
      <w:r>
        <w:t>AHRQ Pub. No. 23-0052</w:t>
      </w:r>
    </w:p>
    <w:p w14:paraId="38B3B792" w14:textId="60B99A45" w:rsidR="008B1E14" w:rsidRPr="008B1E14" w:rsidRDefault="008B1E14" w:rsidP="008B1E14">
      <w:pPr>
        <w:spacing w:after="0" w:line="240" w:lineRule="auto"/>
        <w:jc w:val="right"/>
      </w:pPr>
      <w:r>
        <w:lastRenderedPageBreak/>
        <w:t>June 2023</w:t>
      </w:r>
    </w:p>
    <w:sectPr w:rsidR="008B1E14" w:rsidRPr="008B1E14" w:rsidSect="00DA32AD">
      <w:footerReference w:type="default" r:id="rId37"/>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6EF1" w14:textId="77777777" w:rsidR="0030139D" w:rsidRDefault="0030139D" w:rsidP="003C380A">
      <w:pPr>
        <w:spacing w:after="0" w:line="240" w:lineRule="auto"/>
      </w:pPr>
      <w:r>
        <w:separator/>
      </w:r>
    </w:p>
  </w:endnote>
  <w:endnote w:type="continuationSeparator" w:id="0">
    <w:p w14:paraId="264A441E" w14:textId="77777777" w:rsidR="0030139D" w:rsidRDefault="0030139D" w:rsidP="003C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3D68" w14:textId="77777777" w:rsidR="00925541" w:rsidRPr="005A6A31" w:rsidRDefault="00925541">
    <w:pPr>
      <w:pStyle w:val="Footer"/>
      <w:jc w:val="right"/>
      <w:rPr>
        <w:sz w:val="32"/>
      </w:rPr>
    </w:pPr>
  </w:p>
  <w:p w14:paraId="007F9B79" w14:textId="77777777" w:rsidR="00925541" w:rsidRDefault="00925541" w:rsidP="008D1CF0">
    <w:pPr>
      <w:pStyle w:val="Footer"/>
    </w:pPr>
    <w:r>
      <w:rPr>
        <w:noProof/>
      </w:rPr>
      <mc:AlternateContent>
        <mc:Choice Requires="wps">
          <w:drawing>
            <wp:anchor distT="45720" distB="45720" distL="114300" distR="114300" simplePos="0" relativeHeight="251657216" behindDoc="0" locked="0" layoutInCell="1" allowOverlap="1" wp14:anchorId="61ACA874" wp14:editId="37C757B0">
              <wp:simplePos x="0" y="0"/>
              <wp:positionH relativeFrom="column">
                <wp:posOffset>4402455</wp:posOffset>
              </wp:positionH>
              <wp:positionV relativeFrom="paragraph">
                <wp:posOffset>496570</wp:posOffset>
              </wp:positionV>
              <wp:extent cx="2640330" cy="240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40030"/>
                      </a:xfrm>
                      <a:prstGeom prst="rect">
                        <a:avLst/>
                      </a:prstGeom>
                      <a:noFill/>
                      <a:ln w="9525">
                        <a:noFill/>
                        <a:miter lim="800000"/>
                        <a:headEnd/>
                        <a:tailEnd/>
                      </a:ln>
                    </wps:spPr>
                    <wps:txbx>
                      <w:txbxContent>
                        <w:p w14:paraId="2E4D2D6A" w14:textId="77777777" w:rsidR="00925541" w:rsidRDefault="00925541" w:rsidP="0014318F">
                          <w:pPr>
                            <w:pStyle w:val="documentfootertitle"/>
                          </w:pPr>
                          <w:r>
                            <w:t xml:space="preserve">ISCR Pathway Worksheet  </w:t>
                          </w:r>
                          <w:r>
                            <w:fldChar w:fldCharType="begin"/>
                          </w:r>
                          <w:r>
                            <w:instrText xml:space="preserve"> PAGE   \* MERGEFORMAT </w:instrText>
                          </w:r>
                          <w:r>
                            <w:fldChar w:fldCharType="separate"/>
                          </w:r>
                          <w:r>
                            <w:rPr>
                              <w:noProof/>
                            </w:rPr>
                            <w:t>3</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CA874" id="_x0000_t202" coordsize="21600,21600" o:spt="202" path="m,l,21600r21600,l21600,xe">
              <v:stroke joinstyle="miter"/>
              <v:path gradientshapeok="t" o:connecttype="rect"/>
            </v:shapetype>
            <v:shape id="Text Box 2" o:spid="_x0000_s1026" type="#_x0000_t202" style="position:absolute;margin-left:346.65pt;margin-top:39.1pt;width:207.9pt;height:18.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" filled="f" stroked="f">
              <v:textbox style="mso-fit-shape-to-text:t">
                <w:txbxContent>
                  <w:p w14:paraId="2E4D2D6A" w14:textId="77777777" w:rsidR="00925541" w:rsidRDefault="00925541" w:rsidP="0014318F">
                    <w:pPr>
                      <w:pStyle w:val="documentfootertitle"/>
                    </w:pPr>
                    <w:r>
                      <w:t xml:space="preserve">ISCR Pathway Worksheet  </w:t>
                    </w:r>
                    <w:r>
                      <w:fldChar w:fldCharType="begin"/>
                    </w:r>
                    <w:r>
                      <w:instrText xml:space="preserve"> PAGE   \* MERGEFORMAT </w:instrText>
                    </w:r>
                    <w:r>
                      <w:fldChar w:fldCharType="separate"/>
                    </w:r>
                    <w:r>
                      <w:rPr>
                        <w:noProof/>
                      </w:rPr>
                      <w:t>3</w:t>
                    </w:r>
                    <w:r>
                      <w:rPr>
                        <w:noProof/>
                      </w:rPr>
                      <w:fldChar w:fldCharType="end"/>
                    </w:r>
                  </w:p>
                </w:txbxContent>
              </v:textbox>
              <w10:wrap type="square"/>
            </v:shape>
          </w:pict>
        </mc:Fallback>
      </mc:AlternateContent>
    </w:r>
    <w:r w:rsidRPr="002E51BD">
      <w:rPr>
        <w:b/>
        <w:noProof/>
        <w:sz w:val="36"/>
      </w:rPr>
      <w:drawing>
        <wp:anchor distT="0" distB="0" distL="114300" distR="114300" simplePos="0" relativeHeight="251659264" behindDoc="1" locked="0" layoutInCell="1" allowOverlap="1" wp14:anchorId="757BC3D7" wp14:editId="28150532">
          <wp:simplePos x="0" y="0"/>
          <wp:positionH relativeFrom="page">
            <wp:posOffset>4651375</wp:posOffset>
          </wp:positionH>
          <wp:positionV relativeFrom="page">
            <wp:posOffset>9483385</wp:posOffset>
          </wp:positionV>
          <wp:extent cx="3291840" cy="7683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768350"/>
                  </a:xfrm>
                  <a:prstGeom prst="rect">
                    <a:avLst/>
                  </a:prstGeom>
                  <a:noFill/>
                </pic:spPr>
              </pic:pic>
            </a:graphicData>
          </a:graphic>
          <wp14:sizeRelH relativeFrom="page">
            <wp14:pctWidth>0</wp14:pctWidth>
          </wp14:sizeRelH>
          <wp14:sizeRelV relativeFrom="page">
            <wp14:pctHeight>0</wp14:pctHeight>
          </wp14:sizeRelV>
        </wp:anchor>
      </w:drawing>
    </w:r>
    <w:r w:rsidRPr="002E51BD">
      <w:rPr>
        <w:b/>
        <w:noProof/>
        <w:sz w:val="36"/>
      </w:rPr>
      <w:drawing>
        <wp:anchor distT="0" distB="0" distL="114300" distR="114300" simplePos="0" relativeHeight="251653632" behindDoc="1" locked="0" layoutInCell="1" allowOverlap="1" wp14:anchorId="49750CD4" wp14:editId="2A7A0DAA">
          <wp:simplePos x="0" y="0"/>
          <wp:positionH relativeFrom="page">
            <wp:posOffset>12468275</wp:posOffset>
          </wp:positionH>
          <wp:positionV relativeFrom="page">
            <wp:posOffset>9488551</wp:posOffset>
          </wp:positionV>
          <wp:extent cx="3291840" cy="7683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768350"/>
                  </a:xfrm>
                  <a:prstGeom prst="rect">
                    <a:avLst/>
                  </a:prstGeom>
                  <a:noFill/>
                </pic:spPr>
              </pic:pic>
            </a:graphicData>
          </a:graphic>
          <wp14:sizeRelH relativeFrom="page">
            <wp14:pctWidth>0</wp14:pctWidth>
          </wp14:sizeRelH>
          <wp14:sizeRelV relativeFrom="page">
            <wp14:pctHeight>0</wp14:pctHeight>
          </wp14:sizeRelV>
        </wp:anchor>
      </w:drawing>
    </w:r>
    <w:r>
      <w:t>AHRQ Safety Program for Improving Surgical Care and Recovery</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A5BE" w14:textId="77777777" w:rsidR="00925541" w:rsidRPr="009C7C23" w:rsidRDefault="00925541">
    <w:pPr>
      <w:pStyle w:val="Footer"/>
      <w:jc w:val="right"/>
    </w:pPr>
  </w:p>
  <w:p w14:paraId="49E63BEB" w14:textId="77777777" w:rsidR="00925541" w:rsidRPr="00890EAD" w:rsidRDefault="00925541" w:rsidP="008D1CF0">
    <w:pPr>
      <w:pStyle w:val="Footer"/>
      <w:rPr>
        <w:sz w:val="20"/>
        <w:szCs w:val="20"/>
      </w:rPr>
    </w:pPr>
    <w:r w:rsidRPr="009C7C23">
      <w:rPr>
        <w:noProof/>
        <w:sz w:val="22"/>
        <w:szCs w:val="22"/>
      </w:rPr>
      <mc:AlternateContent>
        <mc:Choice Requires="wps">
          <w:drawing>
            <wp:anchor distT="45720" distB="45720" distL="114300" distR="114300" simplePos="0" relativeHeight="251660800" behindDoc="0" locked="0" layoutInCell="1" allowOverlap="1" wp14:anchorId="5C9F9F44" wp14:editId="72ADDE66">
              <wp:simplePos x="0" y="0"/>
              <wp:positionH relativeFrom="column">
                <wp:posOffset>12439015</wp:posOffset>
              </wp:positionH>
              <wp:positionV relativeFrom="paragraph">
                <wp:posOffset>496645</wp:posOffset>
              </wp:positionV>
              <wp:extent cx="2640330" cy="24003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40030"/>
                      </a:xfrm>
                      <a:prstGeom prst="rect">
                        <a:avLst/>
                      </a:prstGeom>
                      <a:noFill/>
                      <a:ln w="9525">
                        <a:noFill/>
                        <a:miter lim="800000"/>
                        <a:headEnd/>
                        <a:tailEnd/>
                      </a:ln>
                    </wps:spPr>
                    <wps:txbx>
                      <w:txbxContent>
                        <w:p w14:paraId="2B40AE4E" w14:textId="77777777" w:rsidR="00925541" w:rsidRPr="0014318F" w:rsidRDefault="00925541" w:rsidP="0014318F">
                          <w:pPr>
                            <w:pStyle w:val="documentfootertitle"/>
                          </w:pPr>
                          <w:r w:rsidRPr="0014318F">
                            <w:t xml:space="preserve">ISCR Pathway Worksheet  </w:t>
                          </w:r>
                          <w:r w:rsidRPr="0014318F">
                            <w:fldChar w:fldCharType="begin"/>
                          </w:r>
                          <w:r w:rsidRPr="0014318F">
                            <w:instrText xml:space="preserve"> PAGE   \* MERGEFORMAT </w:instrText>
                          </w:r>
                          <w:r w:rsidRPr="0014318F">
                            <w:fldChar w:fldCharType="separate"/>
                          </w:r>
                          <w:r w:rsidRPr="0014318F">
                            <w:rPr>
                              <w:noProof/>
                            </w:rPr>
                            <w:t>4</w:t>
                          </w:r>
                          <w:r w:rsidRPr="0014318F">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F9F44" id="_x0000_t202" coordsize="21600,21600" o:spt="202" path="m,l,21600r21600,l21600,xe">
              <v:stroke joinstyle="miter"/>
              <v:path gradientshapeok="t" o:connecttype="rect"/>
            </v:shapetype>
            <v:shape id="_x0000_s1028" type="#_x0000_t202" style="position:absolute;margin-left:979.45pt;margin-top:39.1pt;width:207.9pt;height:18.9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" filled="f" stroked="f">
              <v:textbox style="mso-fit-shape-to-text:t">
                <w:txbxContent>
                  <w:p w14:paraId="2B40AE4E" w14:textId="77777777" w:rsidR="00925541" w:rsidRPr="0014318F" w:rsidRDefault="00925541" w:rsidP="0014318F">
                    <w:pPr>
                      <w:pStyle w:val="documentfootertitle"/>
                    </w:pPr>
                    <w:r w:rsidRPr="0014318F">
                      <w:t xml:space="preserve">ISCR Pathway Worksheet  </w:t>
                    </w:r>
                    <w:r w:rsidRPr="0014318F">
                      <w:fldChar w:fldCharType="begin"/>
                    </w:r>
                    <w:r w:rsidRPr="0014318F">
                      <w:instrText xml:space="preserve"> PAGE   \* MERGEFORMAT </w:instrText>
                    </w:r>
                    <w:r w:rsidRPr="0014318F">
                      <w:fldChar w:fldCharType="separate"/>
                    </w:r>
                    <w:r w:rsidRPr="0014318F">
                      <w:rPr>
                        <w:noProof/>
                      </w:rPr>
                      <w:t>4</w:t>
                    </w:r>
                    <w:r w:rsidRPr="0014318F">
                      <w:rPr>
                        <w:noProof/>
                      </w:rPr>
                      <w:fldChar w:fldCharType="end"/>
                    </w:r>
                  </w:p>
                </w:txbxContent>
              </v:textbox>
              <w10:wrap type="square"/>
            </v:shape>
          </w:pict>
        </mc:Fallback>
      </mc:AlternateContent>
    </w:r>
    <w:r w:rsidRPr="009C7C23">
      <w:rPr>
        <w:b/>
        <w:noProof/>
        <w:sz w:val="22"/>
        <w:szCs w:val="22"/>
      </w:rPr>
      <w:drawing>
        <wp:anchor distT="0" distB="0" distL="114300" distR="114300" simplePos="0" relativeHeight="251659776" behindDoc="1" locked="0" layoutInCell="1" allowOverlap="1" wp14:anchorId="1339E213" wp14:editId="2EA29F7C">
          <wp:simplePos x="0" y="0"/>
          <wp:positionH relativeFrom="page">
            <wp:posOffset>12468275</wp:posOffset>
          </wp:positionH>
          <wp:positionV relativeFrom="page">
            <wp:posOffset>9488551</wp:posOffset>
          </wp:positionV>
          <wp:extent cx="3291840" cy="76835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768350"/>
                  </a:xfrm>
                  <a:prstGeom prst="rect">
                    <a:avLst/>
                  </a:prstGeom>
                  <a:noFill/>
                </pic:spPr>
              </pic:pic>
            </a:graphicData>
          </a:graphic>
          <wp14:sizeRelH relativeFrom="page">
            <wp14:pctWidth>0</wp14:pctWidth>
          </wp14:sizeRelH>
          <wp14:sizeRelV relativeFrom="page">
            <wp14:pctHeight>0</wp14:pctHeight>
          </wp14:sizeRelV>
        </wp:anchor>
      </w:drawing>
    </w:r>
    <w:r w:rsidRPr="009C7C23">
      <w:rPr>
        <w:sz w:val="22"/>
        <w:szCs w:val="22"/>
      </w:rPr>
      <w:t>AHRQ Safety Program for Improving Surgical Care and Recovery</w:t>
    </w:r>
    <w:r w:rsidRPr="00890EAD">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5FC" w14:textId="77777777" w:rsidR="00925541" w:rsidRPr="005A6A31" w:rsidRDefault="00925541">
    <w:pPr>
      <w:pStyle w:val="Footer"/>
      <w:jc w:val="right"/>
      <w:rPr>
        <w:sz w:val="32"/>
      </w:rPr>
    </w:pPr>
  </w:p>
  <w:p w14:paraId="1A3F016D" w14:textId="77777777" w:rsidR="00925541" w:rsidRDefault="00925541" w:rsidP="008D1CF0">
    <w:pPr>
      <w:pStyle w:val="Footer"/>
    </w:pPr>
    <w:r w:rsidRPr="00E23F94">
      <w:rPr>
        <w:b/>
        <w:noProof/>
        <w:sz w:val="44"/>
        <w:szCs w:val="22"/>
      </w:rPr>
      <w:drawing>
        <wp:anchor distT="0" distB="0" distL="114300" distR="114300" simplePos="0" relativeHeight="251656704" behindDoc="1" locked="0" layoutInCell="1" allowOverlap="1" wp14:anchorId="2FCD34CF" wp14:editId="6E6FBE17">
          <wp:simplePos x="0" y="0"/>
          <wp:positionH relativeFrom="page">
            <wp:posOffset>6981825</wp:posOffset>
          </wp:positionH>
          <wp:positionV relativeFrom="page">
            <wp:posOffset>15005980</wp:posOffset>
          </wp:positionV>
          <wp:extent cx="3291840" cy="76835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768350"/>
                  </a:xfrm>
                  <a:prstGeom prst="rect">
                    <a:avLst/>
                  </a:prstGeom>
                  <a:noFill/>
                </pic:spPr>
              </pic:pic>
            </a:graphicData>
          </a:graphic>
          <wp14:sizeRelH relativeFrom="page">
            <wp14:pctWidth>0</wp14:pctWidth>
          </wp14:sizeRelH>
          <wp14:sizeRelV relativeFrom="page">
            <wp14:pctHeight>0</wp14:pctHeight>
          </wp14:sizeRelV>
        </wp:anchor>
      </w:drawing>
    </w:r>
    <w:r w:rsidRPr="00E23F94">
      <w:rPr>
        <w:noProof/>
        <w:sz w:val="22"/>
        <w:szCs w:val="22"/>
      </w:rPr>
      <mc:AlternateContent>
        <mc:Choice Requires="wps">
          <w:drawing>
            <wp:anchor distT="45720" distB="45720" distL="114300" distR="114300" simplePos="0" relativeHeight="251661824" behindDoc="0" locked="0" layoutInCell="1" allowOverlap="1" wp14:anchorId="4FDC70D7" wp14:editId="56E1C4F1">
              <wp:simplePos x="0" y="0"/>
              <wp:positionH relativeFrom="column">
                <wp:posOffset>12439015</wp:posOffset>
              </wp:positionH>
              <wp:positionV relativeFrom="paragraph">
                <wp:posOffset>496645</wp:posOffset>
              </wp:positionV>
              <wp:extent cx="2640330" cy="24003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40030"/>
                      </a:xfrm>
                      <a:prstGeom prst="rect">
                        <a:avLst/>
                      </a:prstGeom>
                      <a:noFill/>
                      <a:ln w="9525">
                        <a:noFill/>
                        <a:miter lim="800000"/>
                        <a:headEnd/>
                        <a:tailEnd/>
                      </a:ln>
                    </wps:spPr>
                    <wps:txbx>
                      <w:txbxContent>
                        <w:p w14:paraId="1AC1C92F" w14:textId="77777777" w:rsidR="00925541" w:rsidRDefault="00925541" w:rsidP="0014318F">
                          <w:pPr>
                            <w:pStyle w:val="documentfootertitle"/>
                          </w:pPr>
                          <w:r>
                            <w:t xml:space="preserve">ISCR Pathway Worksheet  </w:t>
                          </w:r>
                          <w:r>
                            <w:fldChar w:fldCharType="begin"/>
                          </w:r>
                          <w:r>
                            <w:instrText xml:space="preserve"> PAGE   \* MERGEFORMAT </w:instrText>
                          </w:r>
                          <w:r>
                            <w:fldChar w:fldCharType="separate"/>
                          </w:r>
                          <w:r>
                            <w:rPr>
                              <w:noProof/>
                            </w:rPr>
                            <w:t>40</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C70D7" id="_x0000_t202" coordsize="21600,21600" o:spt="202" path="m,l,21600r21600,l21600,xe">
              <v:stroke joinstyle="miter"/>
              <v:path gradientshapeok="t" o:connecttype="rect"/>
            </v:shapetype>
            <v:shape id="_x0000_s1029" type="#_x0000_t202" style="position:absolute;margin-left:979.45pt;margin-top:39.1pt;width:207.9pt;height:18.9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" filled="f" stroked="f">
              <v:textbox style="mso-fit-shape-to-text:t">
                <w:txbxContent>
                  <w:p w14:paraId="1AC1C92F" w14:textId="77777777" w:rsidR="00925541" w:rsidRDefault="00925541" w:rsidP="0014318F">
                    <w:pPr>
                      <w:pStyle w:val="documentfootertitle"/>
                    </w:pPr>
                    <w:r>
                      <w:t xml:space="preserve">ISCR Pathway Worksheet  </w:t>
                    </w:r>
                    <w:r>
                      <w:fldChar w:fldCharType="begin"/>
                    </w:r>
                    <w:r>
                      <w:instrText xml:space="preserve"> PAGE   \* MERGEFORMAT </w:instrText>
                    </w:r>
                    <w:r>
                      <w:fldChar w:fldCharType="separate"/>
                    </w:r>
                    <w:r>
                      <w:rPr>
                        <w:noProof/>
                      </w:rPr>
                      <w:t>40</w:t>
                    </w:r>
                    <w:r>
                      <w:rPr>
                        <w:noProof/>
                      </w:rPr>
                      <w:fldChar w:fldCharType="end"/>
                    </w:r>
                  </w:p>
                </w:txbxContent>
              </v:textbox>
              <w10:wrap type="square"/>
            </v:shape>
          </w:pict>
        </mc:Fallback>
      </mc:AlternateContent>
    </w:r>
    <w:r w:rsidRPr="00E23F94">
      <w:rPr>
        <w:sz w:val="22"/>
        <w:szCs w:val="22"/>
      </w:rPr>
      <w:t>AHRQ Safety Program for Improving Surgical Care and Recovery</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CF36" w14:textId="77777777" w:rsidR="0030139D" w:rsidRDefault="0030139D" w:rsidP="003C380A">
      <w:pPr>
        <w:spacing w:after="0" w:line="240" w:lineRule="auto"/>
      </w:pPr>
      <w:r>
        <w:separator/>
      </w:r>
    </w:p>
  </w:footnote>
  <w:footnote w:type="continuationSeparator" w:id="0">
    <w:p w14:paraId="0665352A" w14:textId="77777777" w:rsidR="0030139D" w:rsidRDefault="0030139D" w:rsidP="003C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C8F" w14:textId="77777777" w:rsidR="00925541" w:rsidRDefault="00925541" w:rsidP="00374FD7">
    <w:pPr>
      <w:pStyle w:val="Headertitle"/>
    </w:pPr>
    <w:r>
      <w:rPr>
        <w:noProof/>
      </w:rPr>
      <mc:AlternateContent>
        <mc:Choice Requires="wps">
          <w:drawing>
            <wp:anchor distT="45720" distB="45720" distL="114300" distR="114300" simplePos="0" relativeHeight="251658752" behindDoc="0" locked="0" layoutInCell="1" allowOverlap="1" wp14:anchorId="276AF4C5" wp14:editId="4D3D0461">
              <wp:simplePos x="0" y="0"/>
              <wp:positionH relativeFrom="column">
                <wp:posOffset>-658598</wp:posOffset>
              </wp:positionH>
              <wp:positionV relativeFrom="paragraph">
                <wp:posOffset>-433705</wp:posOffset>
              </wp:positionV>
              <wp:extent cx="7706995" cy="9734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973455"/>
                      </a:xfrm>
                      <a:prstGeom prst="rect">
                        <a:avLst/>
                      </a:prstGeom>
                      <a:noFill/>
                      <a:ln w="9525">
                        <a:noFill/>
                        <a:miter lim="800000"/>
                        <a:headEnd/>
                        <a:tailEnd/>
                      </a:ln>
                    </wps:spPr>
                    <wps:txbx>
                      <w:txbxContent>
                        <w:p w14:paraId="1E7D9D71" w14:textId="77777777" w:rsidR="00925541" w:rsidRDefault="00925541" w:rsidP="00374FD7">
                          <w:pPr>
                            <w:pStyle w:val="Headertitle"/>
                          </w:pPr>
                          <w:r>
                            <w:t>AHRQ Safety Program for Improving Surgical Care and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AF4C5" id="_x0000_t202" coordsize="21600,21600" o:spt="202" path="m,l,21600r21600,l21600,xe">
              <v:stroke joinstyle="miter"/>
              <v:path gradientshapeok="t" o:connecttype="rect"/>
            </v:shapetype>
            <v:shape id="_x0000_s1027" type="#_x0000_t202" style="position:absolute;left:0;text-align:left;margin-left:-51.85pt;margin-top:-34.15pt;width:606.85pt;height:76.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" filled="f" stroked="f">
              <v:textbox>
                <w:txbxContent>
                  <w:p w14:paraId="1E7D9D71" w14:textId="77777777" w:rsidR="00925541" w:rsidRDefault="00925541" w:rsidP="00374FD7">
                    <w:pPr>
                      <w:pStyle w:val="Headertitle"/>
                    </w:pPr>
                    <w:r>
                      <w:t>AHRQ Safety Program for Improving Surgical Care and Recovery</w:t>
                    </w:r>
                  </w:p>
                </w:txbxContent>
              </v:textbox>
            </v:shape>
          </w:pict>
        </mc:Fallback>
      </mc:AlternateContent>
    </w:r>
    <w:r w:rsidRPr="008D1CF0">
      <w:rPr>
        <w:noProof/>
      </w:rPr>
      <w:drawing>
        <wp:anchor distT="0" distB="0" distL="114300" distR="114300" simplePos="0" relativeHeight="251654656" behindDoc="1" locked="0" layoutInCell="1" allowOverlap="1" wp14:anchorId="38DDDCC6" wp14:editId="326B621C">
          <wp:simplePos x="0" y="0"/>
          <wp:positionH relativeFrom="page">
            <wp:posOffset>23495</wp:posOffset>
          </wp:positionH>
          <wp:positionV relativeFrom="page">
            <wp:posOffset>15677</wp:posOffset>
          </wp:positionV>
          <wp:extent cx="7772400" cy="10058400"/>
          <wp:effectExtent l="0" t="0" r="0" b="0"/>
          <wp:wrapNone/>
          <wp:docPr id="5" name="Picture 5"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89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8E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8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E03F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AD9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6A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EE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5EE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61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862C0"/>
    <w:multiLevelType w:val="hybridMultilevel"/>
    <w:tmpl w:val="A7E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1031D"/>
    <w:multiLevelType w:val="hybridMultilevel"/>
    <w:tmpl w:val="E9B0B4E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5216717"/>
    <w:multiLevelType w:val="hybridMultilevel"/>
    <w:tmpl w:val="58925D96"/>
    <w:lvl w:ilvl="0" w:tplc="CEA2D69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B1BD3"/>
    <w:multiLevelType w:val="hybridMultilevel"/>
    <w:tmpl w:val="5C02236A"/>
    <w:lvl w:ilvl="0" w:tplc="CEA2D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02B8B"/>
    <w:multiLevelType w:val="hybridMultilevel"/>
    <w:tmpl w:val="23A8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152E0"/>
    <w:multiLevelType w:val="hybridMultilevel"/>
    <w:tmpl w:val="53BE3584"/>
    <w:lvl w:ilvl="0" w:tplc="CEA2D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0F263E"/>
    <w:multiLevelType w:val="hybridMultilevel"/>
    <w:tmpl w:val="F1EA671C"/>
    <w:lvl w:ilvl="0" w:tplc="CEA2D698">
      <w:start w:val="1"/>
      <w:numFmt w:val="decimal"/>
      <w:lvlText w:val="%1."/>
      <w:lvlJc w:val="left"/>
      <w:pPr>
        <w:ind w:left="1080" w:hanging="360"/>
      </w:pPr>
      <w:rPr>
        <w:rFonts w:hint="default"/>
      </w:rPr>
    </w:lvl>
    <w:lvl w:ilvl="1" w:tplc="F76224E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AA65BA"/>
    <w:multiLevelType w:val="hybridMultilevel"/>
    <w:tmpl w:val="DBBC7FBC"/>
    <w:lvl w:ilvl="0" w:tplc="CEA2D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874A92"/>
    <w:multiLevelType w:val="hybridMultilevel"/>
    <w:tmpl w:val="3092C218"/>
    <w:lvl w:ilvl="0" w:tplc="04090003">
      <w:start w:val="1"/>
      <w:numFmt w:val="bullet"/>
      <w:lvlText w:val="o"/>
      <w:lvlJc w:val="left"/>
      <w:pPr>
        <w:ind w:left="1059" w:hanging="360"/>
      </w:pPr>
      <w:rPr>
        <w:rFonts w:ascii="Courier New" w:hAnsi="Courier New" w:cs="Courier New"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9" w15:restartNumberingAfterBreak="0">
    <w:nsid w:val="13D74A00"/>
    <w:multiLevelType w:val="hybridMultilevel"/>
    <w:tmpl w:val="982C3BBC"/>
    <w:lvl w:ilvl="0" w:tplc="CEA2D698">
      <w:start w:val="1"/>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062BA2"/>
    <w:multiLevelType w:val="hybridMultilevel"/>
    <w:tmpl w:val="4DD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25FEC"/>
    <w:multiLevelType w:val="hybridMultilevel"/>
    <w:tmpl w:val="FE222B1A"/>
    <w:lvl w:ilvl="0" w:tplc="CEA2D69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20533D65"/>
    <w:multiLevelType w:val="hybridMultilevel"/>
    <w:tmpl w:val="C3FAF016"/>
    <w:lvl w:ilvl="0" w:tplc="2BB65C2E">
      <w:start w:val="1"/>
      <w:numFmt w:val="bullet"/>
      <w:pStyle w:val="Bullet1"/>
      <w:lvlText w:val=""/>
      <w:lvlJc w:val="left"/>
      <w:pPr>
        <w:ind w:left="720" w:hanging="360"/>
      </w:pPr>
      <w:rPr>
        <w:rFonts w:ascii="Symbol" w:hAnsi="Symbol" w:hint="default"/>
      </w:rPr>
    </w:lvl>
    <w:lvl w:ilvl="1" w:tplc="2FF66048">
      <w:start w:val="1"/>
      <w:numFmt w:val="bullet"/>
      <w:pStyle w:val="bullet2"/>
      <w:lvlText w:val="o"/>
      <w:lvlJc w:val="left"/>
      <w:pPr>
        <w:ind w:left="1440" w:hanging="360"/>
      </w:pPr>
      <w:rPr>
        <w:rFonts w:ascii="Courier New" w:hAnsi="Courier New" w:cs="Courier New" w:hint="default"/>
      </w:rPr>
    </w:lvl>
    <w:lvl w:ilvl="2" w:tplc="756E84C0">
      <w:start w:val="1"/>
      <w:numFmt w:val="bullet"/>
      <w:pStyle w:val="Bullet3"/>
      <w:lvlText w:val=""/>
      <w:lvlJc w:val="left"/>
      <w:pPr>
        <w:ind w:left="2160" w:hanging="360"/>
      </w:pPr>
      <w:rPr>
        <w:rFonts w:ascii="Wingdings" w:hAnsi="Wingdings" w:hint="default"/>
      </w:rPr>
    </w:lvl>
    <w:lvl w:ilvl="3" w:tplc="777C7586">
      <w:start w:val="1"/>
      <w:numFmt w:val="bullet"/>
      <w:pStyle w:val="Bullet4"/>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D57FE"/>
    <w:multiLevelType w:val="hybridMultilevel"/>
    <w:tmpl w:val="94B4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5AC0144">
      <w:start w:val="3"/>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580900"/>
    <w:multiLevelType w:val="hybridMultilevel"/>
    <w:tmpl w:val="CF60520A"/>
    <w:lvl w:ilvl="0" w:tplc="CEA2D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1E5492"/>
    <w:multiLevelType w:val="hybridMultilevel"/>
    <w:tmpl w:val="FFC4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E1B07"/>
    <w:multiLevelType w:val="hybridMultilevel"/>
    <w:tmpl w:val="69AC781C"/>
    <w:lvl w:ilvl="0" w:tplc="35881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B2319E"/>
    <w:multiLevelType w:val="hybridMultilevel"/>
    <w:tmpl w:val="B554D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00BB8"/>
    <w:multiLevelType w:val="hybridMultilevel"/>
    <w:tmpl w:val="7CD2204A"/>
    <w:lvl w:ilvl="0" w:tplc="CEA2D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592B89"/>
    <w:multiLevelType w:val="hybridMultilevel"/>
    <w:tmpl w:val="3B22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E7CC2"/>
    <w:multiLevelType w:val="hybridMultilevel"/>
    <w:tmpl w:val="000C318E"/>
    <w:lvl w:ilvl="0" w:tplc="CEA2D698">
      <w:start w:val="1"/>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97FF8"/>
    <w:multiLevelType w:val="hybridMultilevel"/>
    <w:tmpl w:val="9136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212483"/>
    <w:multiLevelType w:val="hybridMultilevel"/>
    <w:tmpl w:val="BAEC6758"/>
    <w:lvl w:ilvl="0" w:tplc="A8487F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22DF8"/>
    <w:multiLevelType w:val="hybridMultilevel"/>
    <w:tmpl w:val="A718F580"/>
    <w:lvl w:ilvl="0" w:tplc="443075B2">
      <w:start w:val="1"/>
      <w:numFmt w:val="decimal"/>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4" w15:restartNumberingAfterBreak="0">
    <w:nsid w:val="34A5684A"/>
    <w:multiLevelType w:val="hybridMultilevel"/>
    <w:tmpl w:val="7E80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C35AB"/>
    <w:multiLevelType w:val="hybridMultilevel"/>
    <w:tmpl w:val="3F60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45408"/>
    <w:multiLevelType w:val="hybridMultilevel"/>
    <w:tmpl w:val="F54A9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C4F73F5"/>
    <w:multiLevelType w:val="hybridMultilevel"/>
    <w:tmpl w:val="B96C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C0267"/>
    <w:multiLevelType w:val="hybridMultilevel"/>
    <w:tmpl w:val="D480ABC8"/>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9" w15:restartNumberingAfterBreak="0">
    <w:nsid w:val="46142A42"/>
    <w:multiLevelType w:val="hybridMultilevel"/>
    <w:tmpl w:val="EB50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3C3FF6"/>
    <w:multiLevelType w:val="hybridMultilevel"/>
    <w:tmpl w:val="F268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16074A"/>
    <w:multiLevelType w:val="hybridMultilevel"/>
    <w:tmpl w:val="0E541254"/>
    <w:lvl w:ilvl="0" w:tplc="0409000F">
      <w:start w:val="1"/>
      <w:numFmt w:val="decimal"/>
      <w:lvlText w:val="%1."/>
      <w:lvlJc w:val="left"/>
      <w:pPr>
        <w:ind w:left="720" w:hanging="360"/>
      </w:pPr>
    </w:lvl>
    <w:lvl w:ilvl="1" w:tplc="DA265B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6D1057"/>
    <w:multiLevelType w:val="hybridMultilevel"/>
    <w:tmpl w:val="63AADA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824809"/>
    <w:multiLevelType w:val="hybridMultilevel"/>
    <w:tmpl w:val="545C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F7A95"/>
    <w:multiLevelType w:val="hybridMultilevel"/>
    <w:tmpl w:val="AE6E2F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211188"/>
    <w:multiLevelType w:val="hybridMultilevel"/>
    <w:tmpl w:val="197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AE2B63"/>
    <w:multiLevelType w:val="hybridMultilevel"/>
    <w:tmpl w:val="7004EABC"/>
    <w:lvl w:ilvl="0" w:tplc="CEA2D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55BCA"/>
    <w:multiLevelType w:val="hybridMultilevel"/>
    <w:tmpl w:val="D834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E50F62"/>
    <w:multiLevelType w:val="hybridMultilevel"/>
    <w:tmpl w:val="A2005AE6"/>
    <w:lvl w:ilvl="0" w:tplc="CEA2D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5B1622"/>
    <w:multiLevelType w:val="hybridMultilevel"/>
    <w:tmpl w:val="B39E302E"/>
    <w:lvl w:ilvl="0" w:tplc="CEA2D698">
      <w:start w:val="1"/>
      <w:numFmt w:val="decimal"/>
      <w:lvlText w:val="%1."/>
      <w:lvlJc w:val="left"/>
      <w:pPr>
        <w:ind w:left="720" w:hanging="360"/>
      </w:pPr>
      <w:rPr>
        <w:rFonts w:hint="default"/>
      </w:rPr>
    </w:lvl>
    <w:lvl w:ilvl="1" w:tplc="CEA2D69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075183"/>
    <w:multiLevelType w:val="hybridMultilevel"/>
    <w:tmpl w:val="A8A43C18"/>
    <w:lvl w:ilvl="0" w:tplc="D4A45638">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4A2520"/>
    <w:multiLevelType w:val="hybridMultilevel"/>
    <w:tmpl w:val="F3FEF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56593C"/>
    <w:multiLevelType w:val="hybridMultilevel"/>
    <w:tmpl w:val="328807A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996487"/>
    <w:multiLevelType w:val="hybridMultilevel"/>
    <w:tmpl w:val="9F364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9EA76E5"/>
    <w:multiLevelType w:val="hybridMultilevel"/>
    <w:tmpl w:val="CD40C75E"/>
    <w:lvl w:ilvl="0" w:tplc="EC2A89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0A2957"/>
    <w:multiLevelType w:val="hybridMultilevel"/>
    <w:tmpl w:val="30940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9E2EDF"/>
    <w:multiLevelType w:val="hybridMultilevel"/>
    <w:tmpl w:val="8A0A3CD2"/>
    <w:lvl w:ilvl="0" w:tplc="9EEA04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F36B34"/>
    <w:multiLevelType w:val="hybridMultilevel"/>
    <w:tmpl w:val="2438D6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18668F7"/>
    <w:multiLevelType w:val="hybridMultilevel"/>
    <w:tmpl w:val="4440B2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23C330C"/>
    <w:multiLevelType w:val="hybridMultilevel"/>
    <w:tmpl w:val="6F242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2CE2C13"/>
    <w:multiLevelType w:val="hybridMultilevel"/>
    <w:tmpl w:val="29F2A644"/>
    <w:lvl w:ilvl="0" w:tplc="CEA2D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51245"/>
    <w:multiLevelType w:val="hybridMultilevel"/>
    <w:tmpl w:val="0378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462CBF"/>
    <w:multiLevelType w:val="hybridMultilevel"/>
    <w:tmpl w:val="D24C3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681C3A"/>
    <w:multiLevelType w:val="hybridMultilevel"/>
    <w:tmpl w:val="3E36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5669">
    <w:abstractNumId w:val="59"/>
  </w:num>
  <w:num w:numId="2" w16cid:durableId="2114740153">
    <w:abstractNumId w:val="52"/>
  </w:num>
  <w:num w:numId="3" w16cid:durableId="310527940">
    <w:abstractNumId w:val="27"/>
  </w:num>
  <w:num w:numId="4" w16cid:durableId="1785073369">
    <w:abstractNumId w:val="56"/>
  </w:num>
  <w:num w:numId="5" w16cid:durableId="1124232833">
    <w:abstractNumId w:val="50"/>
  </w:num>
  <w:num w:numId="6" w16cid:durableId="2140295971">
    <w:abstractNumId w:val="41"/>
  </w:num>
  <w:num w:numId="7" w16cid:durableId="869029676">
    <w:abstractNumId w:val="10"/>
  </w:num>
  <w:num w:numId="8" w16cid:durableId="649016079">
    <w:abstractNumId w:val="33"/>
  </w:num>
  <w:num w:numId="9" w16cid:durableId="886800235">
    <w:abstractNumId w:val="37"/>
  </w:num>
  <w:num w:numId="10" w16cid:durableId="1161581941">
    <w:abstractNumId w:val="14"/>
  </w:num>
  <w:num w:numId="11" w16cid:durableId="2063557477">
    <w:abstractNumId w:val="44"/>
  </w:num>
  <w:num w:numId="12" w16cid:durableId="866259211">
    <w:abstractNumId w:val="53"/>
  </w:num>
  <w:num w:numId="13" w16cid:durableId="2127263023">
    <w:abstractNumId w:val="55"/>
  </w:num>
  <w:num w:numId="14" w16cid:durableId="1564557433">
    <w:abstractNumId w:val="36"/>
  </w:num>
  <w:num w:numId="15" w16cid:durableId="224219105">
    <w:abstractNumId w:val="23"/>
  </w:num>
  <w:num w:numId="16" w16cid:durableId="914898486">
    <w:abstractNumId w:val="39"/>
  </w:num>
  <w:num w:numId="17" w16cid:durableId="1448812217">
    <w:abstractNumId w:val="34"/>
  </w:num>
  <w:num w:numId="18" w16cid:durableId="1774520830">
    <w:abstractNumId w:val="43"/>
  </w:num>
  <w:num w:numId="19" w16cid:durableId="1759521505">
    <w:abstractNumId w:val="25"/>
  </w:num>
  <w:num w:numId="20" w16cid:durableId="2041121744">
    <w:abstractNumId w:val="35"/>
  </w:num>
  <w:num w:numId="21" w16cid:durableId="1930501812">
    <w:abstractNumId w:val="47"/>
  </w:num>
  <w:num w:numId="22" w16cid:durableId="251090287">
    <w:abstractNumId w:val="21"/>
  </w:num>
  <w:num w:numId="23" w16cid:durableId="1448041431">
    <w:abstractNumId w:val="19"/>
  </w:num>
  <w:num w:numId="24" w16cid:durableId="832524904">
    <w:abstractNumId w:val="30"/>
  </w:num>
  <w:num w:numId="25" w16cid:durableId="2054883855">
    <w:abstractNumId w:val="51"/>
  </w:num>
  <w:num w:numId="26" w16cid:durableId="1963339287">
    <w:abstractNumId w:val="28"/>
  </w:num>
  <w:num w:numId="27" w16cid:durableId="2015649585">
    <w:abstractNumId w:val="48"/>
  </w:num>
  <w:num w:numId="28" w16cid:durableId="352342282">
    <w:abstractNumId w:val="16"/>
  </w:num>
  <w:num w:numId="29" w16cid:durableId="276374475">
    <w:abstractNumId w:val="20"/>
  </w:num>
  <w:num w:numId="30" w16cid:durableId="227421123">
    <w:abstractNumId w:val="24"/>
  </w:num>
  <w:num w:numId="31" w16cid:durableId="1334382137">
    <w:abstractNumId w:val="46"/>
  </w:num>
  <w:num w:numId="32" w16cid:durableId="852764885">
    <w:abstractNumId w:val="13"/>
  </w:num>
  <w:num w:numId="33" w16cid:durableId="634605685">
    <w:abstractNumId w:val="42"/>
  </w:num>
  <w:num w:numId="34" w16cid:durableId="974524466">
    <w:abstractNumId w:val="17"/>
  </w:num>
  <w:num w:numId="35" w16cid:durableId="850601814">
    <w:abstractNumId w:val="15"/>
  </w:num>
  <w:num w:numId="36" w16cid:durableId="779226451">
    <w:abstractNumId w:val="29"/>
  </w:num>
  <w:num w:numId="37" w16cid:durableId="552927462">
    <w:abstractNumId w:val="60"/>
  </w:num>
  <w:num w:numId="38" w16cid:durableId="77873507">
    <w:abstractNumId w:val="63"/>
  </w:num>
  <w:num w:numId="39" w16cid:durableId="1605532551">
    <w:abstractNumId w:val="49"/>
  </w:num>
  <w:num w:numId="40" w16cid:durableId="203831000">
    <w:abstractNumId w:val="12"/>
  </w:num>
  <w:num w:numId="41" w16cid:durableId="79985404">
    <w:abstractNumId w:val="32"/>
  </w:num>
  <w:num w:numId="42" w16cid:durableId="852258394">
    <w:abstractNumId w:val="57"/>
  </w:num>
  <w:num w:numId="43" w16cid:durableId="1171263267">
    <w:abstractNumId w:val="61"/>
  </w:num>
  <w:num w:numId="44" w16cid:durableId="424499803">
    <w:abstractNumId w:val="38"/>
  </w:num>
  <w:num w:numId="45" w16cid:durableId="1426730561">
    <w:abstractNumId w:val="58"/>
  </w:num>
  <w:num w:numId="46" w16cid:durableId="703016167">
    <w:abstractNumId w:val="18"/>
  </w:num>
  <w:num w:numId="47" w16cid:durableId="1478301338">
    <w:abstractNumId w:val="40"/>
  </w:num>
  <w:num w:numId="48" w16cid:durableId="447744565">
    <w:abstractNumId w:val="62"/>
  </w:num>
  <w:num w:numId="49" w16cid:durableId="1633512986">
    <w:abstractNumId w:val="45"/>
  </w:num>
  <w:num w:numId="50" w16cid:durableId="1189291027">
    <w:abstractNumId w:val="22"/>
  </w:num>
  <w:num w:numId="51" w16cid:durableId="8338459">
    <w:abstractNumId w:val="31"/>
  </w:num>
  <w:num w:numId="52" w16cid:durableId="1207138557">
    <w:abstractNumId w:val="11"/>
  </w:num>
  <w:num w:numId="53" w16cid:durableId="1922520728">
    <w:abstractNumId w:val="26"/>
  </w:num>
  <w:num w:numId="54" w16cid:durableId="1447777688">
    <w:abstractNumId w:val="54"/>
  </w:num>
  <w:num w:numId="55" w16cid:durableId="2101490507">
    <w:abstractNumId w:val="0"/>
  </w:num>
  <w:num w:numId="56" w16cid:durableId="990717396">
    <w:abstractNumId w:val="1"/>
  </w:num>
  <w:num w:numId="57" w16cid:durableId="1418793159">
    <w:abstractNumId w:val="2"/>
  </w:num>
  <w:num w:numId="58" w16cid:durableId="2108036584">
    <w:abstractNumId w:val="3"/>
  </w:num>
  <w:num w:numId="59" w16cid:durableId="2039163102">
    <w:abstractNumId w:val="8"/>
  </w:num>
  <w:num w:numId="60" w16cid:durableId="1999964923">
    <w:abstractNumId w:val="4"/>
  </w:num>
  <w:num w:numId="61" w16cid:durableId="353580725">
    <w:abstractNumId w:val="5"/>
  </w:num>
  <w:num w:numId="62" w16cid:durableId="790510646">
    <w:abstractNumId w:val="6"/>
  </w:num>
  <w:num w:numId="63" w16cid:durableId="2078362849">
    <w:abstractNumId w:val="7"/>
  </w:num>
  <w:num w:numId="64" w16cid:durableId="188902781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35"/>
    <w:rsid w:val="000010AF"/>
    <w:rsid w:val="00001AAC"/>
    <w:rsid w:val="00002190"/>
    <w:rsid w:val="0000376A"/>
    <w:rsid w:val="00003F18"/>
    <w:rsid w:val="0001085C"/>
    <w:rsid w:val="00011880"/>
    <w:rsid w:val="000118FF"/>
    <w:rsid w:val="0001199B"/>
    <w:rsid w:val="00014742"/>
    <w:rsid w:val="0001507E"/>
    <w:rsid w:val="00020254"/>
    <w:rsid w:val="00021B2F"/>
    <w:rsid w:val="00021FEC"/>
    <w:rsid w:val="00027A1F"/>
    <w:rsid w:val="00030F46"/>
    <w:rsid w:val="0003159F"/>
    <w:rsid w:val="00042B5F"/>
    <w:rsid w:val="0005083C"/>
    <w:rsid w:val="0005244E"/>
    <w:rsid w:val="0005466C"/>
    <w:rsid w:val="0005533A"/>
    <w:rsid w:val="0006179B"/>
    <w:rsid w:val="00066F05"/>
    <w:rsid w:val="000713D5"/>
    <w:rsid w:val="000746FA"/>
    <w:rsid w:val="00083C88"/>
    <w:rsid w:val="0008525F"/>
    <w:rsid w:val="000A1D5D"/>
    <w:rsid w:val="000A4443"/>
    <w:rsid w:val="000A58CC"/>
    <w:rsid w:val="000A5AE2"/>
    <w:rsid w:val="000B2D6F"/>
    <w:rsid w:val="000C2CB2"/>
    <w:rsid w:val="000D02E2"/>
    <w:rsid w:val="000D1A42"/>
    <w:rsid w:val="000D5AD7"/>
    <w:rsid w:val="000E1A62"/>
    <w:rsid w:val="000E5AEF"/>
    <w:rsid w:val="000E7D1A"/>
    <w:rsid w:val="000F2E7E"/>
    <w:rsid w:val="00101810"/>
    <w:rsid w:val="0011130F"/>
    <w:rsid w:val="001124F5"/>
    <w:rsid w:val="00121302"/>
    <w:rsid w:val="00125424"/>
    <w:rsid w:val="00125A09"/>
    <w:rsid w:val="0012663D"/>
    <w:rsid w:val="00126AF8"/>
    <w:rsid w:val="00132829"/>
    <w:rsid w:val="00137CA9"/>
    <w:rsid w:val="0014318F"/>
    <w:rsid w:val="001447C4"/>
    <w:rsid w:val="001447FF"/>
    <w:rsid w:val="00147885"/>
    <w:rsid w:val="00147A02"/>
    <w:rsid w:val="00147ABD"/>
    <w:rsid w:val="00151919"/>
    <w:rsid w:val="00151BD4"/>
    <w:rsid w:val="00156902"/>
    <w:rsid w:val="001642F2"/>
    <w:rsid w:val="00165BE5"/>
    <w:rsid w:val="00167971"/>
    <w:rsid w:val="0017334D"/>
    <w:rsid w:val="00173C2D"/>
    <w:rsid w:val="00175725"/>
    <w:rsid w:val="0018440D"/>
    <w:rsid w:val="00191F88"/>
    <w:rsid w:val="00193BE7"/>
    <w:rsid w:val="0019570D"/>
    <w:rsid w:val="00196E03"/>
    <w:rsid w:val="00196E0B"/>
    <w:rsid w:val="001A4739"/>
    <w:rsid w:val="001B6974"/>
    <w:rsid w:val="001B6B20"/>
    <w:rsid w:val="001C6F13"/>
    <w:rsid w:val="001C70EA"/>
    <w:rsid w:val="001D2CDC"/>
    <w:rsid w:val="001D4098"/>
    <w:rsid w:val="001D6E2D"/>
    <w:rsid w:val="001D7B40"/>
    <w:rsid w:val="001E3D75"/>
    <w:rsid w:val="001E6CE4"/>
    <w:rsid w:val="001F1A09"/>
    <w:rsid w:val="001F2BD7"/>
    <w:rsid w:val="001F5335"/>
    <w:rsid w:val="001F7C6C"/>
    <w:rsid w:val="00201D3E"/>
    <w:rsid w:val="0021042A"/>
    <w:rsid w:val="00212A01"/>
    <w:rsid w:val="00216814"/>
    <w:rsid w:val="0021724D"/>
    <w:rsid w:val="002272BA"/>
    <w:rsid w:val="0022790B"/>
    <w:rsid w:val="002345A0"/>
    <w:rsid w:val="002376AB"/>
    <w:rsid w:val="0024216D"/>
    <w:rsid w:val="002435FA"/>
    <w:rsid w:val="00244773"/>
    <w:rsid w:val="00244A98"/>
    <w:rsid w:val="002455BD"/>
    <w:rsid w:val="002510B8"/>
    <w:rsid w:val="00251220"/>
    <w:rsid w:val="00251AF1"/>
    <w:rsid w:val="0025268E"/>
    <w:rsid w:val="00252FBE"/>
    <w:rsid w:val="002570ED"/>
    <w:rsid w:val="00265A6C"/>
    <w:rsid w:val="00270E45"/>
    <w:rsid w:val="00275AEE"/>
    <w:rsid w:val="00277D3D"/>
    <w:rsid w:val="002807EE"/>
    <w:rsid w:val="00282FBC"/>
    <w:rsid w:val="002936C9"/>
    <w:rsid w:val="00294672"/>
    <w:rsid w:val="002951F6"/>
    <w:rsid w:val="0029634B"/>
    <w:rsid w:val="002978A5"/>
    <w:rsid w:val="002A0AF8"/>
    <w:rsid w:val="002A3A71"/>
    <w:rsid w:val="002B0E27"/>
    <w:rsid w:val="002B48CE"/>
    <w:rsid w:val="002B6B54"/>
    <w:rsid w:val="002C5BD4"/>
    <w:rsid w:val="002D0AFF"/>
    <w:rsid w:val="002D3167"/>
    <w:rsid w:val="002D39C8"/>
    <w:rsid w:val="002D5F97"/>
    <w:rsid w:val="002D7076"/>
    <w:rsid w:val="002E4F5F"/>
    <w:rsid w:val="002E51BD"/>
    <w:rsid w:val="002F0586"/>
    <w:rsid w:val="002F1644"/>
    <w:rsid w:val="002F236C"/>
    <w:rsid w:val="00301016"/>
    <w:rsid w:val="0030139D"/>
    <w:rsid w:val="00301962"/>
    <w:rsid w:val="003023A5"/>
    <w:rsid w:val="0030446C"/>
    <w:rsid w:val="00304935"/>
    <w:rsid w:val="0031170A"/>
    <w:rsid w:val="00313769"/>
    <w:rsid w:val="00315823"/>
    <w:rsid w:val="003161AC"/>
    <w:rsid w:val="00320871"/>
    <w:rsid w:val="00325F58"/>
    <w:rsid w:val="003274A1"/>
    <w:rsid w:val="00332B0F"/>
    <w:rsid w:val="00340F10"/>
    <w:rsid w:val="0034182D"/>
    <w:rsid w:val="003429AF"/>
    <w:rsid w:val="00343238"/>
    <w:rsid w:val="0034357C"/>
    <w:rsid w:val="00344B22"/>
    <w:rsid w:val="00347C37"/>
    <w:rsid w:val="00350958"/>
    <w:rsid w:val="00356A5A"/>
    <w:rsid w:val="00370D1C"/>
    <w:rsid w:val="00373D48"/>
    <w:rsid w:val="0037447A"/>
    <w:rsid w:val="00374FD7"/>
    <w:rsid w:val="00380221"/>
    <w:rsid w:val="0038237E"/>
    <w:rsid w:val="00382BE0"/>
    <w:rsid w:val="003943E8"/>
    <w:rsid w:val="003975BE"/>
    <w:rsid w:val="003A5081"/>
    <w:rsid w:val="003A5BCE"/>
    <w:rsid w:val="003A5FA9"/>
    <w:rsid w:val="003A6726"/>
    <w:rsid w:val="003B06E4"/>
    <w:rsid w:val="003C13EE"/>
    <w:rsid w:val="003C380A"/>
    <w:rsid w:val="003C3A01"/>
    <w:rsid w:val="003C4780"/>
    <w:rsid w:val="003D42A5"/>
    <w:rsid w:val="003D486E"/>
    <w:rsid w:val="003E0206"/>
    <w:rsid w:val="003E18DD"/>
    <w:rsid w:val="003E5839"/>
    <w:rsid w:val="003E6D3A"/>
    <w:rsid w:val="003F6934"/>
    <w:rsid w:val="0040010C"/>
    <w:rsid w:val="00406AB9"/>
    <w:rsid w:val="0040740B"/>
    <w:rsid w:val="00430A38"/>
    <w:rsid w:val="004313B6"/>
    <w:rsid w:val="004334C8"/>
    <w:rsid w:val="00437364"/>
    <w:rsid w:val="00437D1E"/>
    <w:rsid w:val="0044275D"/>
    <w:rsid w:val="00451483"/>
    <w:rsid w:val="00452B92"/>
    <w:rsid w:val="004537CF"/>
    <w:rsid w:val="00454015"/>
    <w:rsid w:val="0045636F"/>
    <w:rsid w:val="00457115"/>
    <w:rsid w:val="004679D0"/>
    <w:rsid w:val="00472A26"/>
    <w:rsid w:val="00481083"/>
    <w:rsid w:val="00482421"/>
    <w:rsid w:val="00483152"/>
    <w:rsid w:val="00490C04"/>
    <w:rsid w:val="00494512"/>
    <w:rsid w:val="004977ED"/>
    <w:rsid w:val="00497CB9"/>
    <w:rsid w:val="004A191E"/>
    <w:rsid w:val="004A258C"/>
    <w:rsid w:val="004A5BED"/>
    <w:rsid w:val="004A5E6C"/>
    <w:rsid w:val="004A626C"/>
    <w:rsid w:val="004B13E5"/>
    <w:rsid w:val="004B3D41"/>
    <w:rsid w:val="004B6DE2"/>
    <w:rsid w:val="004C1EE4"/>
    <w:rsid w:val="004C67D9"/>
    <w:rsid w:val="004D5B5B"/>
    <w:rsid w:val="004D6710"/>
    <w:rsid w:val="004E2A79"/>
    <w:rsid w:val="004E649F"/>
    <w:rsid w:val="004E7650"/>
    <w:rsid w:val="004E7816"/>
    <w:rsid w:val="004F5C8C"/>
    <w:rsid w:val="004F6155"/>
    <w:rsid w:val="005022B9"/>
    <w:rsid w:val="00506835"/>
    <w:rsid w:val="00506BF6"/>
    <w:rsid w:val="00507B43"/>
    <w:rsid w:val="00510A0F"/>
    <w:rsid w:val="0051227B"/>
    <w:rsid w:val="00513D66"/>
    <w:rsid w:val="005177D6"/>
    <w:rsid w:val="00520EE2"/>
    <w:rsid w:val="00520F1B"/>
    <w:rsid w:val="00526834"/>
    <w:rsid w:val="0053177F"/>
    <w:rsid w:val="0053534C"/>
    <w:rsid w:val="005418B8"/>
    <w:rsid w:val="005423C4"/>
    <w:rsid w:val="00544BAC"/>
    <w:rsid w:val="00545083"/>
    <w:rsid w:val="00546084"/>
    <w:rsid w:val="0055266A"/>
    <w:rsid w:val="00552BB4"/>
    <w:rsid w:val="00552D9A"/>
    <w:rsid w:val="0056129F"/>
    <w:rsid w:val="005616F4"/>
    <w:rsid w:val="005621B6"/>
    <w:rsid w:val="00566996"/>
    <w:rsid w:val="00574FA1"/>
    <w:rsid w:val="00575570"/>
    <w:rsid w:val="0057650B"/>
    <w:rsid w:val="00580D30"/>
    <w:rsid w:val="00582950"/>
    <w:rsid w:val="00584711"/>
    <w:rsid w:val="00584831"/>
    <w:rsid w:val="00586E85"/>
    <w:rsid w:val="005935F1"/>
    <w:rsid w:val="005956DE"/>
    <w:rsid w:val="0059794D"/>
    <w:rsid w:val="005A27D0"/>
    <w:rsid w:val="005A5993"/>
    <w:rsid w:val="005A6A31"/>
    <w:rsid w:val="005A7196"/>
    <w:rsid w:val="005A76D1"/>
    <w:rsid w:val="005B6372"/>
    <w:rsid w:val="005B7480"/>
    <w:rsid w:val="005B7FAD"/>
    <w:rsid w:val="005C07F3"/>
    <w:rsid w:val="005C2A61"/>
    <w:rsid w:val="005C7CB7"/>
    <w:rsid w:val="005D6576"/>
    <w:rsid w:val="005E579F"/>
    <w:rsid w:val="005E594A"/>
    <w:rsid w:val="005F17B5"/>
    <w:rsid w:val="005F2008"/>
    <w:rsid w:val="005F22B3"/>
    <w:rsid w:val="005F5399"/>
    <w:rsid w:val="005F5B68"/>
    <w:rsid w:val="005F7C41"/>
    <w:rsid w:val="00600957"/>
    <w:rsid w:val="00602886"/>
    <w:rsid w:val="00605B85"/>
    <w:rsid w:val="0060622C"/>
    <w:rsid w:val="00606DAE"/>
    <w:rsid w:val="00607F32"/>
    <w:rsid w:val="00610728"/>
    <w:rsid w:val="00616383"/>
    <w:rsid w:val="006173B2"/>
    <w:rsid w:val="0062151C"/>
    <w:rsid w:val="00622F8B"/>
    <w:rsid w:val="006236AA"/>
    <w:rsid w:val="00623847"/>
    <w:rsid w:val="006241AD"/>
    <w:rsid w:val="0062569A"/>
    <w:rsid w:val="00631834"/>
    <w:rsid w:val="00631A3F"/>
    <w:rsid w:val="00634C17"/>
    <w:rsid w:val="00637722"/>
    <w:rsid w:val="00641EA5"/>
    <w:rsid w:val="00643B1F"/>
    <w:rsid w:val="00653D10"/>
    <w:rsid w:val="006561BD"/>
    <w:rsid w:val="00656BEF"/>
    <w:rsid w:val="00660566"/>
    <w:rsid w:val="00663CFB"/>
    <w:rsid w:val="00664822"/>
    <w:rsid w:val="00665045"/>
    <w:rsid w:val="00670595"/>
    <w:rsid w:val="00671377"/>
    <w:rsid w:val="006722F4"/>
    <w:rsid w:val="00672BDD"/>
    <w:rsid w:val="006826EF"/>
    <w:rsid w:val="00684653"/>
    <w:rsid w:val="0068470D"/>
    <w:rsid w:val="006853F6"/>
    <w:rsid w:val="00685DE3"/>
    <w:rsid w:val="006A07A6"/>
    <w:rsid w:val="006A1053"/>
    <w:rsid w:val="006A1585"/>
    <w:rsid w:val="006A1D34"/>
    <w:rsid w:val="006B1003"/>
    <w:rsid w:val="006B10B4"/>
    <w:rsid w:val="006B2751"/>
    <w:rsid w:val="006B45BB"/>
    <w:rsid w:val="006B773F"/>
    <w:rsid w:val="006C07B3"/>
    <w:rsid w:val="006C1802"/>
    <w:rsid w:val="006C2D73"/>
    <w:rsid w:val="006C3ACC"/>
    <w:rsid w:val="006C607E"/>
    <w:rsid w:val="006C7CA4"/>
    <w:rsid w:val="006D443B"/>
    <w:rsid w:val="006E0976"/>
    <w:rsid w:val="006E13C9"/>
    <w:rsid w:val="006E16FA"/>
    <w:rsid w:val="006E19CD"/>
    <w:rsid w:val="006E5F68"/>
    <w:rsid w:val="006E6532"/>
    <w:rsid w:val="006E6AF4"/>
    <w:rsid w:val="006E7A7F"/>
    <w:rsid w:val="006F3676"/>
    <w:rsid w:val="006F4998"/>
    <w:rsid w:val="006F533C"/>
    <w:rsid w:val="006F5630"/>
    <w:rsid w:val="006F6776"/>
    <w:rsid w:val="00701874"/>
    <w:rsid w:val="00707C3C"/>
    <w:rsid w:val="00710B8E"/>
    <w:rsid w:val="00715E9F"/>
    <w:rsid w:val="00720489"/>
    <w:rsid w:val="007204E8"/>
    <w:rsid w:val="00734E5C"/>
    <w:rsid w:val="00745B3F"/>
    <w:rsid w:val="00745C61"/>
    <w:rsid w:val="00751BF9"/>
    <w:rsid w:val="007622A8"/>
    <w:rsid w:val="00765EC8"/>
    <w:rsid w:val="00767D59"/>
    <w:rsid w:val="0077217F"/>
    <w:rsid w:val="0077641B"/>
    <w:rsid w:val="00776FE5"/>
    <w:rsid w:val="00777938"/>
    <w:rsid w:val="0078326A"/>
    <w:rsid w:val="00783336"/>
    <w:rsid w:val="00787C8A"/>
    <w:rsid w:val="0079467B"/>
    <w:rsid w:val="00796707"/>
    <w:rsid w:val="007978CA"/>
    <w:rsid w:val="007979E8"/>
    <w:rsid w:val="007A0C37"/>
    <w:rsid w:val="007A3A30"/>
    <w:rsid w:val="007A6E7A"/>
    <w:rsid w:val="007A7448"/>
    <w:rsid w:val="007B06DB"/>
    <w:rsid w:val="007B1EC4"/>
    <w:rsid w:val="007C174E"/>
    <w:rsid w:val="007C2196"/>
    <w:rsid w:val="007C4CBE"/>
    <w:rsid w:val="007C6397"/>
    <w:rsid w:val="007D43FC"/>
    <w:rsid w:val="007D510C"/>
    <w:rsid w:val="007E13E2"/>
    <w:rsid w:val="007E2441"/>
    <w:rsid w:val="007E3803"/>
    <w:rsid w:val="007E4795"/>
    <w:rsid w:val="007F38B9"/>
    <w:rsid w:val="007F71B7"/>
    <w:rsid w:val="007F7C68"/>
    <w:rsid w:val="007F7E50"/>
    <w:rsid w:val="008003B3"/>
    <w:rsid w:val="00803A44"/>
    <w:rsid w:val="00805014"/>
    <w:rsid w:val="00813B51"/>
    <w:rsid w:val="00813D09"/>
    <w:rsid w:val="00814D25"/>
    <w:rsid w:val="00815554"/>
    <w:rsid w:val="00816A6F"/>
    <w:rsid w:val="0082059F"/>
    <w:rsid w:val="00821582"/>
    <w:rsid w:val="00823A8B"/>
    <w:rsid w:val="00825FE3"/>
    <w:rsid w:val="0082745F"/>
    <w:rsid w:val="008374B3"/>
    <w:rsid w:val="00846BFB"/>
    <w:rsid w:val="00846FE4"/>
    <w:rsid w:val="008530DC"/>
    <w:rsid w:val="00853357"/>
    <w:rsid w:val="00854C95"/>
    <w:rsid w:val="00857302"/>
    <w:rsid w:val="008624C3"/>
    <w:rsid w:val="00863BA7"/>
    <w:rsid w:val="00863C1C"/>
    <w:rsid w:val="00863F6E"/>
    <w:rsid w:val="008716CF"/>
    <w:rsid w:val="008718F7"/>
    <w:rsid w:val="00873CFE"/>
    <w:rsid w:val="00874991"/>
    <w:rsid w:val="008772DA"/>
    <w:rsid w:val="008776FB"/>
    <w:rsid w:val="00877C2A"/>
    <w:rsid w:val="00881220"/>
    <w:rsid w:val="00882BA8"/>
    <w:rsid w:val="00890EAD"/>
    <w:rsid w:val="0089206C"/>
    <w:rsid w:val="0089339F"/>
    <w:rsid w:val="00894223"/>
    <w:rsid w:val="0089443D"/>
    <w:rsid w:val="00894729"/>
    <w:rsid w:val="00896808"/>
    <w:rsid w:val="008A245C"/>
    <w:rsid w:val="008A4CA8"/>
    <w:rsid w:val="008A611F"/>
    <w:rsid w:val="008B1E14"/>
    <w:rsid w:val="008B3CCB"/>
    <w:rsid w:val="008B4853"/>
    <w:rsid w:val="008B665B"/>
    <w:rsid w:val="008B72B3"/>
    <w:rsid w:val="008C101C"/>
    <w:rsid w:val="008C71F9"/>
    <w:rsid w:val="008D1CF0"/>
    <w:rsid w:val="008D7F4A"/>
    <w:rsid w:val="008E12AC"/>
    <w:rsid w:val="008E1F57"/>
    <w:rsid w:val="008E214B"/>
    <w:rsid w:val="008E73D6"/>
    <w:rsid w:val="008F1151"/>
    <w:rsid w:val="008F3809"/>
    <w:rsid w:val="008F46D3"/>
    <w:rsid w:val="008F4F73"/>
    <w:rsid w:val="008F6D2D"/>
    <w:rsid w:val="0090245E"/>
    <w:rsid w:val="00902F00"/>
    <w:rsid w:val="009145E0"/>
    <w:rsid w:val="00922FBF"/>
    <w:rsid w:val="009235FF"/>
    <w:rsid w:val="009245EC"/>
    <w:rsid w:val="00925435"/>
    <w:rsid w:val="00925541"/>
    <w:rsid w:val="00927003"/>
    <w:rsid w:val="00927B83"/>
    <w:rsid w:val="00930352"/>
    <w:rsid w:val="009314FA"/>
    <w:rsid w:val="009332B0"/>
    <w:rsid w:val="0094023A"/>
    <w:rsid w:val="00940689"/>
    <w:rsid w:val="009409BF"/>
    <w:rsid w:val="00943A87"/>
    <w:rsid w:val="00943AF1"/>
    <w:rsid w:val="00945FE8"/>
    <w:rsid w:val="009522A9"/>
    <w:rsid w:val="00957F6B"/>
    <w:rsid w:val="00961303"/>
    <w:rsid w:val="0096773F"/>
    <w:rsid w:val="009733EE"/>
    <w:rsid w:val="00974DB9"/>
    <w:rsid w:val="00975962"/>
    <w:rsid w:val="009800B7"/>
    <w:rsid w:val="0098115F"/>
    <w:rsid w:val="00982184"/>
    <w:rsid w:val="009847F6"/>
    <w:rsid w:val="00984EE8"/>
    <w:rsid w:val="00994C7F"/>
    <w:rsid w:val="009A09E0"/>
    <w:rsid w:val="009A1924"/>
    <w:rsid w:val="009A26B9"/>
    <w:rsid w:val="009A4CDB"/>
    <w:rsid w:val="009B185A"/>
    <w:rsid w:val="009B77D7"/>
    <w:rsid w:val="009C15D7"/>
    <w:rsid w:val="009C68E7"/>
    <w:rsid w:val="009C7C23"/>
    <w:rsid w:val="009D0061"/>
    <w:rsid w:val="009D053A"/>
    <w:rsid w:val="009D1475"/>
    <w:rsid w:val="009D48C0"/>
    <w:rsid w:val="009E38B8"/>
    <w:rsid w:val="009E420C"/>
    <w:rsid w:val="009F043E"/>
    <w:rsid w:val="009F305C"/>
    <w:rsid w:val="009F38EE"/>
    <w:rsid w:val="009F40B9"/>
    <w:rsid w:val="009F72F7"/>
    <w:rsid w:val="00A008DB"/>
    <w:rsid w:val="00A00DB4"/>
    <w:rsid w:val="00A0215B"/>
    <w:rsid w:val="00A03DB0"/>
    <w:rsid w:val="00A0606D"/>
    <w:rsid w:val="00A14A9D"/>
    <w:rsid w:val="00A232E3"/>
    <w:rsid w:val="00A320F8"/>
    <w:rsid w:val="00A33540"/>
    <w:rsid w:val="00A342E9"/>
    <w:rsid w:val="00A34C27"/>
    <w:rsid w:val="00A3796C"/>
    <w:rsid w:val="00A433D7"/>
    <w:rsid w:val="00A461AA"/>
    <w:rsid w:val="00A466F9"/>
    <w:rsid w:val="00A55181"/>
    <w:rsid w:val="00A61A6C"/>
    <w:rsid w:val="00A63693"/>
    <w:rsid w:val="00A6469D"/>
    <w:rsid w:val="00A67EA1"/>
    <w:rsid w:val="00A71027"/>
    <w:rsid w:val="00A725C1"/>
    <w:rsid w:val="00A74774"/>
    <w:rsid w:val="00A77BB0"/>
    <w:rsid w:val="00A77E09"/>
    <w:rsid w:val="00A829E2"/>
    <w:rsid w:val="00A85B2D"/>
    <w:rsid w:val="00A952FA"/>
    <w:rsid w:val="00A9659F"/>
    <w:rsid w:val="00A9683B"/>
    <w:rsid w:val="00A96F8C"/>
    <w:rsid w:val="00AA140E"/>
    <w:rsid w:val="00AA59B3"/>
    <w:rsid w:val="00AA7106"/>
    <w:rsid w:val="00AB1227"/>
    <w:rsid w:val="00AB1273"/>
    <w:rsid w:val="00AB4582"/>
    <w:rsid w:val="00AB46B1"/>
    <w:rsid w:val="00AC38F9"/>
    <w:rsid w:val="00AC6F08"/>
    <w:rsid w:val="00AC760C"/>
    <w:rsid w:val="00AD13BA"/>
    <w:rsid w:val="00AD1B02"/>
    <w:rsid w:val="00AD1BCA"/>
    <w:rsid w:val="00AD23D9"/>
    <w:rsid w:val="00AD47C4"/>
    <w:rsid w:val="00AD6620"/>
    <w:rsid w:val="00AE511F"/>
    <w:rsid w:val="00AE595D"/>
    <w:rsid w:val="00AE5F35"/>
    <w:rsid w:val="00AE7AB5"/>
    <w:rsid w:val="00AF0176"/>
    <w:rsid w:val="00AF3453"/>
    <w:rsid w:val="00AF675D"/>
    <w:rsid w:val="00B00577"/>
    <w:rsid w:val="00B01F5D"/>
    <w:rsid w:val="00B05FA9"/>
    <w:rsid w:val="00B06225"/>
    <w:rsid w:val="00B10EC9"/>
    <w:rsid w:val="00B11F03"/>
    <w:rsid w:val="00B15081"/>
    <w:rsid w:val="00B15E3E"/>
    <w:rsid w:val="00B160FD"/>
    <w:rsid w:val="00B1622A"/>
    <w:rsid w:val="00B17527"/>
    <w:rsid w:val="00B25D5C"/>
    <w:rsid w:val="00B25EA2"/>
    <w:rsid w:val="00B272A6"/>
    <w:rsid w:val="00B33453"/>
    <w:rsid w:val="00B36535"/>
    <w:rsid w:val="00B40188"/>
    <w:rsid w:val="00B4239C"/>
    <w:rsid w:val="00B43299"/>
    <w:rsid w:val="00B43992"/>
    <w:rsid w:val="00B4786A"/>
    <w:rsid w:val="00B513CB"/>
    <w:rsid w:val="00B52D55"/>
    <w:rsid w:val="00B557E6"/>
    <w:rsid w:val="00B6052D"/>
    <w:rsid w:val="00B623FD"/>
    <w:rsid w:val="00B637A0"/>
    <w:rsid w:val="00B645B9"/>
    <w:rsid w:val="00B717A8"/>
    <w:rsid w:val="00B74BDC"/>
    <w:rsid w:val="00B77AC9"/>
    <w:rsid w:val="00B80261"/>
    <w:rsid w:val="00B80B3A"/>
    <w:rsid w:val="00B82607"/>
    <w:rsid w:val="00B82919"/>
    <w:rsid w:val="00B84592"/>
    <w:rsid w:val="00B87F80"/>
    <w:rsid w:val="00B90314"/>
    <w:rsid w:val="00B94DE6"/>
    <w:rsid w:val="00B94EF9"/>
    <w:rsid w:val="00BB12F7"/>
    <w:rsid w:val="00BB3835"/>
    <w:rsid w:val="00BB712E"/>
    <w:rsid w:val="00BD32EE"/>
    <w:rsid w:val="00BD42D6"/>
    <w:rsid w:val="00BD6119"/>
    <w:rsid w:val="00BD73B0"/>
    <w:rsid w:val="00BE51DD"/>
    <w:rsid w:val="00BE5B7A"/>
    <w:rsid w:val="00BF5037"/>
    <w:rsid w:val="00BF55FE"/>
    <w:rsid w:val="00BF7691"/>
    <w:rsid w:val="00C01638"/>
    <w:rsid w:val="00C10BD8"/>
    <w:rsid w:val="00C1287B"/>
    <w:rsid w:val="00C1633A"/>
    <w:rsid w:val="00C2156C"/>
    <w:rsid w:val="00C222AB"/>
    <w:rsid w:val="00C25E33"/>
    <w:rsid w:val="00C35439"/>
    <w:rsid w:val="00C36434"/>
    <w:rsid w:val="00C44C41"/>
    <w:rsid w:val="00C51607"/>
    <w:rsid w:val="00C54921"/>
    <w:rsid w:val="00C54DEC"/>
    <w:rsid w:val="00C56456"/>
    <w:rsid w:val="00C64182"/>
    <w:rsid w:val="00C724C3"/>
    <w:rsid w:val="00C72A52"/>
    <w:rsid w:val="00C76275"/>
    <w:rsid w:val="00C77D78"/>
    <w:rsid w:val="00C90720"/>
    <w:rsid w:val="00C924CF"/>
    <w:rsid w:val="00CA4DEA"/>
    <w:rsid w:val="00CA59C8"/>
    <w:rsid w:val="00CA64F0"/>
    <w:rsid w:val="00CB02F8"/>
    <w:rsid w:val="00CB1F09"/>
    <w:rsid w:val="00CB3621"/>
    <w:rsid w:val="00CB6C14"/>
    <w:rsid w:val="00CC5F24"/>
    <w:rsid w:val="00CD210D"/>
    <w:rsid w:val="00CD5A78"/>
    <w:rsid w:val="00CE05A4"/>
    <w:rsid w:val="00CE1724"/>
    <w:rsid w:val="00CE4F6D"/>
    <w:rsid w:val="00CE5C81"/>
    <w:rsid w:val="00CE7B81"/>
    <w:rsid w:val="00CF089B"/>
    <w:rsid w:val="00CF1C2B"/>
    <w:rsid w:val="00CF4145"/>
    <w:rsid w:val="00CF4156"/>
    <w:rsid w:val="00CF4B65"/>
    <w:rsid w:val="00CF684C"/>
    <w:rsid w:val="00CF6AED"/>
    <w:rsid w:val="00D003A0"/>
    <w:rsid w:val="00D033DE"/>
    <w:rsid w:val="00D0345E"/>
    <w:rsid w:val="00D060D1"/>
    <w:rsid w:val="00D063E9"/>
    <w:rsid w:val="00D0728F"/>
    <w:rsid w:val="00D072F3"/>
    <w:rsid w:val="00D1148A"/>
    <w:rsid w:val="00D15AFB"/>
    <w:rsid w:val="00D17D09"/>
    <w:rsid w:val="00D21923"/>
    <w:rsid w:val="00D21E65"/>
    <w:rsid w:val="00D21EFF"/>
    <w:rsid w:val="00D31C7B"/>
    <w:rsid w:val="00D35F82"/>
    <w:rsid w:val="00D41DE5"/>
    <w:rsid w:val="00D51740"/>
    <w:rsid w:val="00D5275B"/>
    <w:rsid w:val="00D5331B"/>
    <w:rsid w:val="00D572FE"/>
    <w:rsid w:val="00D61500"/>
    <w:rsid w:val="00D63FC9"/>
    <w:rsid w:val="00D65AEE"/>
    <w:rsid w:val="00D6691E"/>
    <w:rsid w:val="00D672F9"/>
    <w:rsid w:val="00D70165"/>
    <w:rsid w:val="00D7245F"/>
    <w:rsid w:val="00D737C5"/>
    <w:rsid w:val="00D73A98"/>
    <w:rsid w:val="00D74C86"/>
    <w:rsid w:val="00D76F1B"/>
    <w:rsid w:val="00D82C32"/>
    <w:rsid w:val="00D83A7D"/>
    <w:rsid w:val="00D9584B"/>
    <w:rsid w:val="00DA2F05"/>
    <w:rsid w:val="00DA32AD"/>
    <w:rsid w:val="00DA4829"/>
    <w:rsid w:val="00DA626B"/>
    <w:rsid w:val="00DA7088"/>
    <w:rsid w:val="00DA7180"/>
    <w:rsid w:val="00DB0BB5"/>
    <w:rsid w:val="00DB5F7C"/>
    <w:rsid w:val="00DC4499"/>
    <w:rsid w:val="00DD2B27"/>
    <w:rsid w:val="00DD4D0C"/>
    <w:rsid w:val="00DD529B"/>
    <w:rsid w:val="00DE0A29"/>
    <w:rsid w:val="00DF0B60"/>
    <w:rsid w:val="00DF31FA"/>
    <w:rsid w:val="00DF70A2"/>
    <w:rsid w:val="00DF70E0"/>
    <w:rsid w:val="00E01C3A"/>
    <w:rsid w:val="00E02330"/>
    <w:rsid w:val="00E06E44"/>
    <w:rsid w:val="00E12FFD"/>
    <w:rsid w:val="00E143EC"/>
    <w:rsid w:val="00E2114C"/>
    <w:rsid w:val="00E21C52"/>
    <w:rsid w:val="00E23F94"/>
    <w:rsid w:val="00E26F78"/>
    <w:rsid w:val="00E307C6"/>
    <w:rsid w:val="00E3302C"/>
    <w:rsid w:val="00E35EC2"/>
    <w:rsid w:val="00E409F1"/>
    <w:rsid w:val="00E455D9"/>
    <w:rsid w:val="00E5070B"/>
    <w:rsid w:val="00E53008"/>
    <w:rsid w:val="00E60BDE"/>
    <w:rsid w:val="00E6199F"/>
    <w:rsid w:val="00E67A5C"/>
    <w:rsid w:val="00E73C59"/>
    <w:rsid w:val="00E75D7D"/>
    <w:rsid w:val="00E818BC"/>
    <w:rsid w:val="00E9093A"/>
    <w:rsid w:val="00E91AC2"/>
    <w:rsid w:val="00EA34A5"/>
    <w:rsid w:val="00EA6780"/>
    <w:rsid w:val="00EB2453"/>
    <w:rsid w:val="00EB4101"/>
    <w:rsid w:val="00EB41BF"/>
    <w:rsid w:val="00EB7531"/>
    <w:rsid w:val="00EC14A8"/>
    <w:rsid w:val="00EC3092"/>
    <w:rsid w:val="00ED6161"/>
    <w:rsid w:val="00ED7E88"/>
    <w:rsid w:val="00EE222A"/>
    <w:rsid w:val="00EE34C3"/>
    <w:rsid w:val="00EE3A88"/>
    <w:rsid w:val="00EE51F3"/>
    <w:rsid w:val="00EE6FCC"/>
    <w:rsid w:val="00EF21F5"/>
    <w:rsid w:val="00EF3A68"/>
    <w:rsid w:val="00EF4371"/>
    <w:rsid w:val="00EF7BE3"/>
    <w:rsid w:val="00F02955"/>
    <w:rsid w:val="00F06B36"/>
    <w:rsid w:val="00F13C61"/>
    <w:rsid w:val="00F17697"/>
    <w:rsid w:val="00F2014F"/>
    <w:rsid w:val="00F34DA3"/>
    <w:rsid w:val="00F412B7"/>
    <w:rsid w:val="00F50010"/>
    <w:rsid w:val="00F50278"/>
    <w:rsid w:val="00F51D65"/>
    <w:rsid w:val="00F604B6"/>
    <w:rsid w:val="00F727B5"/>
    <w:rsid w:val="00F740B5"/>
    <w:rsid w:val="00F746A8"/>
    <w:rsid w:val="00F75657"/>
    <w:rsid w:val="00F772A3"/>
    <w:rsid w:val="00F8173B"/>
    <w:rsid w:val="00F8370D"/>
    <w:rsid w:val="00F838E2"/>
    <w:rsid w:val="00F84FDA"/>
    <w:rsid w:val="00F922AB"/>
    <w:rsid w:val="00F93339"/>
    <w:rsid w:val="00F93B37"/>
    <w:rsid w:val="00F93FC6"/>
    <w:rsid w:val="00F946B4"/>
    <w:rsid w:val="00F976FA"/>
    <w:rsid w:val="00FA1C41"/>
    <w:rsid w:val="00FB132F"/>
    <w:rsid w:val="00FB4D11"/>
    <w:rsid w:val="00FC2C6C"/>
    <w:rsid w:val="00FC6143"/>
    <w:rsid w:val="00FC6D8E"/>
    <w:rsid w:val="00FC726A"/>
    <w:rsid w:val="00FD2CFF"/>
    <w:rsid w:val="00FD3EEC"/>
    <w:rsid w:val="00FD62A1"/>
    <w:rsid w:val="00FD7FDA"/>
    <w:rsid w:val="00FE064A"/>
    <w:rsid w:val="00FE350B"/>
    <w:rsid w:val="00FE58EC"/>
    <w:rsid w:val="00FF2AC6"/>
    <w:rsid w:val="00FF3157"/>
    <w:rsid w:val="00FF3C84"/>
    <w:rsid w:val="00FF5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C716CB"/>
  <w15:docId w15:val="{08C61AC5-1F73-48F1-98E6-723D6CD9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hanging="36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25541"/>
    <w:pPr>
      <w:spacing w:after="200" w:line="276" w:lineRule="auto"/>
      <w:ind w:left="0" w:firstLine="0"/>
    </w:pPr>
  </w:style>
  <w:style w:type="paragraph" w:styleId="Heading1">
    <w:name w:val="heading 1"/>
    <w:basedOn w:val="Normal"/>
    <w:next w:val="Normal"/>
    <w:link w:val="Heading1Char"/>
    <w:uiPriority w:val="9"/>
    <w:rsid w:val="009255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Section3Title"/>
    <w:link w:val="Heading2Char"/>
    <w:autoRedefine/>
    <w:qFormat/>
    <w:rsid w:val="00925541"/>
    <w:pPr>
      <w:spacing w:after="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25541"/>
    <w:pPr>
      <w:ind w:left="720"/>
      <w:contextualSpacing/>
    </w:pPr>
  </w:style>
  <w:style w:type="character" w:styleId="CommentReference">
    <w:name w:val="annotation reference"/>
    <w:basedOn w:val="DefaultParagraphFont"/>
    <w:uiPriority w:val="99"/>
    <w:semiHidden/>
    <w:unhideWhenUsed/>
    <w:rsid w:val="00AE5F35"/>
    <w:rPr>
      <w:sz w:val="16"/>
      <w:szCs w:val="16"/>
    </w:rPr>
  </w:style>
  <w:style w:type="paragraph" w:styleId="CommentText">
    <w:name w:val="annotation text"/>
    <w:basedOn w:val="Normal"/>
    <w:link w:val="CommentTextChar"/>
    <w:uiPriority w:val="99"/>
    <w:unhideWhenUsed/>
    <w:rsid w:val="00AE5F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E5F3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F35"/>
    <w:rPr>
      <w:rFonts w:ascii="Segoe UI" w:hAnsi="Segoe UI" w:cs="Segoe UI"/>
      <w:sz w:val="18"/>
      <w:szCs w:val="18"/>
    </w:rPr>
  </w:style>
  <w:style w:type="paragraph" w:customStyle="1" w:styleId="Default">
    <w:name w:val="Default"/>
    <w:rsid w:val="003C380A"/>
    <w:pPr>
      <w:autoSpaceDE w:val="0"/>
      <w:autoSpaceDN w:val="0"/>
      <w:adjustRightInd w:val="0"/>
      <w:spacing w:after="0" w:line="240" w:lineRule="auto"/>
      <w:ind w:left="0" w:firstLine="0"/>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3C380A"/>
    <w:pPr>
      <w:spacing w:after="0" w:line="240" w:lineRule="auto"/>
    </w:pPr>
    <w:rPr>
      <w:sz w:val="20"/>
      <w:szCs w:val="20"/>
    </w:rPr>
  </w:style>
  <w:style w:type="character" w:customStyle="1" w:styleId="FootnoteTextChar">
    <w:name w:val="Footnote Text Char"/>
    <w:basedOn w:val="DefaultParagraphFont"/>
    <w:link w:val="FootnoteText"/>
    <w:uiPriority w:val="99"/>
    <w:rsid w:val="003C380A"/>
    <w:rPr>
      <w:sz w:val="20"/>
      <w:szCs w:val="20"/>
    </w:rPr>
  </w:style>
  <w:style w:type="character" w:styleId="FootnoteReference">
    <w:name w:val="footnote reference"/>
    <w:basedOn w:val="DefaultParagraphFont"/>
    <w:uiPriority w:val="99"/>
    <w:semiHidden/>
    <w:unhideWhenUsed/>
    <w:rsid w:val="003C380A"/>
    <w:rPr>
      <w:vertAlign w:val="superscript"/>
    </w:rPr>
  </w:style>
  <w:style w:type="paragraph" w:styleId="HTMLPreformatted">
    <w:name w:val="HTML Preformatted"/>
    <w:basedOn w:val="Normal"/>
    <w:link w:val="HTMLPreformattedChar"/>
    <w:uiPriority w:val="99"/>
    <w:semiHidden/>
    <w:unhideWhenUsed/>
    <w:rsid w:val="003C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C380A"/>
    <w:rPr>
      <w:rFonts w:ascii="Courier" w:hAnsi="Courier" w:cs="Courier"/>
      <w:sz w:val="20"/>
      <w:szCs w:val="20"/>
    </w:rPr>
  </w:style>
  <w:style w:type="paragraph" w:styleId="Header">
    <w:name w:val="header"/>
    <w:basedOn w:val="Normal"/>
    <w:link w:val="HeaderChar"/>
    <w:uiPriority w:val="99"/>
    <w:unhideWhenUsed/>
    <w:rsid w:val="00925541"/>
    <w:pPr>
      <w:tabs>
        <w:tab w:val="center" w:pos="4680"/>
        <w:tab w:val="right" w:pos="9360"/>
      </w:tabs>
    </w:pPr>
  </w:style>
  <w:style w:type="character" w:customStyle="1" w:styleId="HeaderChar">
    <w:name w:val="Header Char"/>
    <w:basedOn w:val="DefaultParagraphFont"/>
    <w:link w:val="Header"/>
    <w:uiPriority w:val="99"/>
    <w:rsid w:val="00925541"/>
  </w:style>
  <w:style w:type="paragraph" w:styleId="Footer">
    <w:name w:val="footer"/>
    <w:basedOn w:val="Normal"/>
    <w:link w:val="FooterChar"/>
    <w:uiPriority w:val="99"/>
    <w:unhideWhenUsed/>
    <w:rsid w:val="00925541"/>
    <w:pPr>
      <w:tabs>
        <w:tab w:val="center" w:pos="4680"/>
        <w:tab w:val="right" w:pos="9360"/>
      </w:tabs>
    </w:pPr>
    <w:rPr>
      <w:sz w:val="18"/>
      <w:szCs w:val="18"/>
    </w:rPr>
  </w:style>
  <w:style w:type="character" w:customStyle="1" w:styleId="FooterChar">
    <w:name w:val="Footer Char"/>
    <w:basedOn w:val="DefaultParagraphFont"/>
    <w:link w:val="Footer"/>
    <w:uiPriority w:val="99"/>
    <w:rsid w:val="00925541"/>
    <w:rPr>
      <w:sz w:val="18"/>
      <w:szCs w:val="18"/>
    </w:rPr>
  </w:style>
  <w:style w:type="paragraph" w:styleId="CommentSubject">
    <w:name w:val="annotation subject"/>
    <w:basedOn w:val="CommentText"/>
    <w:next w:val="CommentText"/>
    <w:link w:val="CommentSubjectChar"/>
    <w:uiPriority w:val="99"/>
    <w:semiHidden/>
    <w:unhideWhenUsed/>
    <w:rsid w:val="008718F7"/>
    <w:pPr>
      <w:spacing w:after="200"/>
      <w:ind w:left="360" w:hanging="3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18F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25541"/>
    <w:rPr>
      <w:color w:val="0563C1" w:themeColor="hyperlink"/>
      <w:u w:val="single"/>
    </w:rPr>
  </w:style>
  <w:style w:type="character" w:customStyle="1" w:styleId="Heading1Char">
    <w:name w:val="Heading 1 Char"/>
    <w:basedOn w:val="DefaultParagraphFont"/>
    <w:link w:val="Heading1"/>
    <w:uiPriority w:val="9"/>
    <w:rsid w:val="009255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25541"/>
    <w:rPr>
      <w:b/>
      <w:bCs/>
      <w:sz w:val="28"/>
      <w:szCs w:val="28"/>
    </w:rPr>
  </w:style>
  <w:style w:type="paragraph" w:customStyle="1" w:styleId="documentfootertitle">
    <w:name w:val="document footer title"/>
    <w:autoRedefine/>
    <w:qFormat/>
    <w:rsid w:val="00925541"/>
    <w:pPr>
      <w:spacing w:after="0" w:line="240" w:lineRule="auto"/>
      <w:ind w:left="0" w:firstLine="0"/>
      <w:contextualSpacing/>
      <w:jc w:val="right"/>
    </w:pPr>
    <w:rPr>
      <w:color w:val="000000" w:themeColor="text1"/>
      <w:sz w:val="18"/>
      <w:szCs w:val="18"/>
    </w:rPr>
  </w:style>
  <w:style w:type="table" w:styleId="TableGrid">
    <w:name w:val="Table Grid"/>
    <w:basedOn w:val="TableNormal"/>
    <w:uiPriority w:val="39"/>
    <w:rsid w:val="00925541"/>
    <w:pPr>
      <w:spacing w:after="200" w:line="276"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textcallout">
    <w:name w:val="Red text callout"/>
    <w:basedOn w:val="BodyText1"/>
    <w:qFormat/>
    <w:rsid w:val="00925541"/>
    <w:rPr>
      <w:color w:val="C00000"/>
    </w:rPr>
  </w:style>
  <w:style w:type="character" w:styleId="PageNumber">
    <w:name w:val="page number"/>
    <w:basedOn w:val="DefaultParagraphFont"/>
    <w:uiPriority w:val="99"/>
    <w:semiHidden/>
    <w:unhideWhenUsed/>
    <w:rsid w:val="00925541"/>
  </w:style>
  <w:style w:type="paragraph" w:customStyle="1" w:styleId="Headertitle">
    <w:name w:val="Header title"/>
    <w:autoRedefine/>
    <w:qFormat/>
    <w:rsid w:val="00925541"/>
    <w:pPr>
      <w:spacing w:after="200" w:line="240" w:lineRule="auto"/>
      <w:ind w:left="0" w:firstLine="0"/>
      <w:contextualSpacing/>
      <w:jc w:val="center"/>
    </w:pPr>
    <w:rPr>
      <w:sz w:val="56"/>
      <w:szCs w:val="72"/>
    </w:rPr>
  </w:style>
  <w:style w:type="paragraph" w:customStyle="1" w:styleId="Section1title">
    <w:name w:val="Section 1 title"/>
    <w:basedOn w:val="Normal"/>
    <w:qFormat/>
    <w:rsid w:val="00925541"/>
    <w:rPr>
      <w:b/>
      <w:bCs/>
      <w:sz w:val="32"/>
      <w:szCs w:val="32"/>
    </w:rPr>
  </w:style>
  <w:style w:type="paragraph" w:customStyle="1" w:styleId="bullet2">
    <w:name w:val="bullet 2"/>
    <w:basedOn w:val="Bullet1"/>
    <w:qFormat/>
    <w:rsid w:val="00925541"/>
    <w:pPr>
      <w:numPr>
        <w:ilvl w:val="1"/>
      </w:numPr>
    </w:pPr>
  </w:style>
  <w:style w:type="paragraph" w:customStyle="1" w:styleId="Bullet1">
    <w:name w:val="Bullet 1"/>
    <w:basedOn w:val="BodyText"/>
    <w:qFormat/>
    <w:rsid w:val="00925541"/>
    <w:pPr>
      <w:numPr>
        <w:numId w:val="50"/>
      </w:numPr>
    </w:pPr>
  </w:style>
  <w:style w:type="paragraph" w:customStyle="1" w:styleId="BodyText1">
    <w:name w:val="Body Text1"/>
    <w:qFormat/>
    <w:rsid w:val="00925541"/>
    <w:pPr>
      <w:spacing w:after="200" w:line="276" w:lineRule="auto"/>
      <w:ind w:left="0" w:firstLine="0"/>
    </w:pPr>
  </w:style>
  <w:style w:type="paragraph" w:styleId="BodyText">
    <w:name w:val="Body Text"/>
    <w:basedOn w:val="Normal"/>
    <w:link w:val="BodyTextChar"/>
    <w:uiPriority w:val="99"/>
    <w:unhideWhenUsed/>
    <w:rsid w:val="00925541"/>
    <w:pPr>
      <w:spacing w:after="120"/>
    </w:pPr>
  </w:style>
  <w:style w:type="character" w:customStyle="1" w:styleId="BodyTextChar">
    <w:name w:val="Body Text Char"/>
    <w:basedOn w:val="DefaultParagraphFont"/>
    <w:link w:val="BodyText"/>
    <w:uiPriority w:val="99"/>
    <w:rsid w:val="00925541"/>
  </w:style>
  <w:style w:type="paragraph" w:customStyle="1" w:styleId="Bullet3">
    <w:name w:val="Bullet 3"/>
    <w:basedOn w:val="Bullet1"/>
    <w:qFormat/>
    <w:rsid w:val="00925541"/>
    <w:pPr>
      <w:numPr>
        <w:ilvl w:val="2"/>
      </w:numPr>
    </w:pPr>
  </w:style>
  <w:style w:type="paragraph" w:customStyle="1" w:styleId="Bullet4">
    <w:name w:val="Bullet 4"/>
    <w:basedOn w:val="Bullet1"/>
    <w:qFormat/>
    <w:rsid w:val="00925541"/>
    <w:pPr>
      <w:numPr>
        <w:ilvl w:val="3"/>
      </w:numPr>
    </w:pPr>
  </w:style>
  <w:style w:type="paragraph" w:customStyle="1" w:styleId="Reference">
    <w:name w:val="Reference"/>
    <w:qFormat/>
    <w:rsid w:val="00D35F82"/>
    <w:pPr>
      <w:spacing w:after="200" w:line="276" w:lineRule="auto"/>
      <w:ind w:left="0" w:firstLine="0"/>
    </w:pPr>
    <w:rPr>
      <w:iCs/>
      <w:sz w:val="20"/>
      <w:szCs w:val="20"/>
    </w:rPr>
  </w:style>
  <w:style w:type="paragraph" w:customStyle="1" w:styleId="Section2Title">
    <w:name w:val="Section 2 Title"/>
    <w:qFormat/>
    <w:rsid w:val="00925541"/>
    <w:pPr>
      <w:spacing w:after="200" w:line="276" w:lineRule="auto"/>
      <w:ind w:left="0" w:firstLine="0"/>
    </w:pPr>
    <w:rPr>
      <w:b/>
      <w:bCs/>
      <w:sz w:val="28"/>
      <w:szCs w:val="28"/>
    </w:rPr>
  </w:style>
  <w:style w:type="paragraph" w:customStyle="1" w:styleId="Section3Title">
    <w:name w:val="Section 3 Title"/>
    <w:qFormat/>
    <w:rsid w:val="00925541"/>
    <w:pPr>
      <w:spacing w:after="200" w:line="276" w:lineRule="auto"/>
      <w:ind w:left="0" w:firstLine="0"/>
    </w:pPr>
    <w:rPr>
      <w:i/>
      <w:iCs/>
    </w:rPr>
  </w:style>
  <w:style w:type="paragraph" w:styleId="Title">
    <w:name w:val="Title"/>
    <w:aliases w:val="Toolkit Title"/>
    <w:basedOn w:val="Normal"/>
    <w:link w:val="TitleChar"/>
    <w:autoRedefine/>
    <w:qFormat/>
    <w:rsid w:val="00925541"/>
    <w:pPr>
      <w:keepNext/>
      <w:keepLines/>
      <w:pBdr>
        <w:bottom w:val="single" w:sz="4" w:space="1" w:color="5B9BD5"/>
      </w:pBdr>
      <w:spacing w:before="120" w:after="240" w:line="240" w:lineRule="auto"/>
      <w:contextualSpacing/>
      <w:outlineLvl w:val="0"/>
    </w:pPr>
    <w:rPr>
      <w:rFonts w:ascii="Calibri" w:eastAsia="MS Gothic" w:hAnsi="Calibri" w:cstheme="majorBidi"/>
      <w:bCs/>
      <w:kern w:val="28"/>
      <w:sz w:val="40"/>
      <w:szCs w:val="32"/>
    </w:rPr>
  </w:style>
  <w:style w:type="character" w:customStyle="1" w:styleId="TitleChar">
    <w:name w:val="Title Char"/>
    <w:aliases w:val="Toolkit Title Char"/>
    <w:basedOn w:val="DefaultParagraphFont"/>
    <w:link w:val="Title"/>
    <w:rsid w:val="00925541"/>
    <w:rPr>
      <w:rFonts w:ascii="Calibri" w:eastAsia="MS Gothic" w:hAnsi="Calibri" w:cstheme="majorBidi"/>
      <w:bCs/>
      <w:kern w:val="28"/>
      <w:sz w:val="40"/>
      <w:szCs w:val="32"/>
    </w:rPr>
  </w:style>
  <w:style w:type="paragraph" w:styleId="Subtitle">
    <w:name w:val="Subtitle"/>
    <w:basedOn w:val="Normal"/>
    <w:next w:val="Normal"/>
    <w:link w:val="SubtitleChar"/>
    <w:uiPriority w:val="11"/>
    <w:rsid w:val="009255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541"/>
    <w:rPr>
      <w:rFonts w:eastAsiaTheme="minorEastAsia"/>
      <w:color w:val="5A5A5A" w:themeColor="text1" w:themeTint="A5"/>
      <w:spacing w:val="15"/>
    </w:rPr>
  </w:style>
  <w:style w:type="paragraph" w:customStyle="1" w:styleId="TableParagraph">
    <w:name w:val="Table Paragraph"/>
    <w:basedOn w:val="Normal"/>
    <w:uiPriority w:val="1"/>
    <w:qFormat/>
    <w:rsid w:val="00925541"/>
    <w:pPr>
      <w:widowControl w:val="0"/>
      <w:autoSpaceDE w:val="0"/>
      <w:autoSpaceDN w:val="0"/>
    </w:pPr>
    <w:rPr>
      <w:rFonts w:ascii="Calibri" w:eastAsia="Calibri" w:hAnsi="Calibri" w:cs="Calibri"/>
      <w:lang w:bidi="en-US"/>
    </w:rPr>
  </w:style>
  <w:style w:type="character" w:styleId="Emphasis">
    <w:name w:val="Emphasis"/>
    <w:basedOn w:val="DefaultParagraphFont"/>
    <w:uiPriority w:val="20"/>
    <w:rsid w:val="00925541"/>
    <w:rPr>
      <w:i/>
      <w:iCs/>
    </w:rPr>
  </w:style>
  <w:style w:type="paragraph" w:customStyle="1" w:styleId="ToolkitDocumentTitle">
    <w:name w:val="Toolkit Document Title"/>
    <w:basedOn w:val="Title"/>
    <w:autoRedefine/>
    <w:qFormat/>
    <w:rsid w:val="00925541"/>
    <w:pPr>
      <w:spacing w:before="240" w:after="120"/>
    </w:pPr>
    <w:rPr>
      <w:bCs w:val="0"/>
      <w:sz w:val="32"/>
    </w:rPr>
  </w:style>
  <w:style w:type="table" w:customStyle="1" w:styleId="GridTable1Light1">
    <w:name w:val="Grid Table 1 Light1"/>
    <w:basedOn w:val="TableNormal"/>
    <w:uiPriority w:val="46"/>
    <w:rsid w:val="002F0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435FA"/>
    <w:rPr>
      <w:b/>
      <w:bCs/>
    </w:rPr>
  </w:style>
  <w:style w:type="character" w:customStyle="1" w:styleId="UnresolvedMention1">
    <w:name w:val="Unresolved Mention1"/>
    <w:basedOn w:val="DefaultParagraphFont"/>
    <w:uiPriority w:val="99"/>
    <w:semiHidden/>
    <w:unhideWhenUsed/>
    <w:rsid w:val="00167971"/>
    <w:rPr>
      <w:color w:val="605E5C"/>
      <w:shd w:val="clear" w:color="auto" w:fill="E1DFDD"/>
    </w:rPr>
  </w:style>
  <w:style w:type="paragraph" w:styleId="TOCHeading">
    <w:name w:val="TOC Heading"/>
    <w:basedOn w:val="Heading1"/>
    <w:next w:val="Normal"/>
    <w:uiPriority w:val="39"/>
    <w:unhideWhenUsed/>
    <w:qFormat/>
    <w:rsid w:val="00574FA1"/>
    <w:pPr>
      <w:spacing w:after="0" w:line="259" w:lineRule="auto"/>
      <w:outlineLvl w:val="9"/>
    </w:pPr>
  </w:style>
  <w:style w:type="paragraph" w:styleId="TOC1">
    <w:name w:val="toc 1"/>
    <w:basedOn w:val="Normal"/>
    <w:next w:val="Normal"/>
    <w:autoRedefine/>
    <w:uiPriority w:val="39"/>
    <w:unhideWhenUsed/>
    <w:rsid w:val="008A611F"/>
    <w:pPr>
      <w:tabs>
        <w:tab w:val="right" w:leader="dot" w:pos="10070"/>
      </w:tabs>
      <w:spacing w:after="100"/>
    </w:pPr>
  </w:style>
  <w:style w:type="paragraph" w:styleId="TOC2">
    <w:name w:val="toc 2"/>
    <w:basedOn w:val="Normal"/>
    <w:next w:val="Normal"/>
    <w:autoRedefine/>
    <w:uiPriority w:val="39"/>
    <w:unhideWhenUsed/>
    <w:rsid w:val="00815554"/>
    <w:pPr>
      <w:spacing w:after="100"/>
      <w:ind w:left="220"/>
    </w:pPr>
  </w:style>
  <w:style w:type="character" w:styleId="FollowedHyperlink">
    <w:name w:val="FollowedHyperlink"/>
    <w:basedOn w:val="DefaultParagraphFont"/>
    <w:uiPriority w:val="99"/>
    <w:semiHidden/>
    <w:unhideWhenUsed/>
    <w:rsid w:val="00F2014F"/>
    <w:rPr>
      <w:color w:val="954F72" w:themeColor="followedHyperlink"/>
      <w:u w:val="single"/>
    </w:rPr>
  </w:style>
  <w:style w:type="character" w:styleId="UnresolvedMention">
    <w:name w:val="Unresolved Mention"/>
    <w:basedOn w:val="DefaultParagraphFont"/>
    <w:uiPriority w:val="99"/>
    <w:semiHidden/>
    <w:unhideWhenUsed/>
    <w:rsid w:val="0089443D"/>
    <w:rPr>
      <w:color w:val="605E5C"/>
      <w:shd w:val="clear" w:color="auto" w:fill="E1DFDD"/>
    </w:rPr>
  </w:style>
  <w:style w:type="paragraph" w:styleId="Revision">
    <w:name w:val="Revision"/>
    <w:hidden/>
    <w:uiPriority w:val="99"/>
    <w:semiHidden/>
    <w:rsid w:val="00943A87"/>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9512">
      <w:bodyDiv w:val="1"/>
      <w:marLeft w:val="0"/>
      <w:marRight w:val="0"/>
      <w:marTop w:val="0"/>
      <w:marBottom w:val="0"/>
      <w:divBdr>
        <w:top w:val="none" w:sz="0" w:space="0" w:color="auto"/>
        <w:left w:val="none" w:sz="0" w:space="0" w:color="auto"/>
        <w:bottom w:val="none" w:sz="0" w:space="0" w:color="auto"/>
        <w:right w:val="none" w:sz="0" w:space="0" w:color="auto"/>
      </w:divBdr>
    </w:div>
    <w:div w:id="1176923493">
      <w:bodyDiv w:val="1"/>
      <w:marLeft w:val="0"/>
      <w:marRight w:val="0"/>
      <w:marTop w:val="0"/>
      <w:marBottom w:val="0"/>
      <w:divBdr>
        <w:top w:val="none" w:sz="0" w:space="0" w:color="auto"/>
        <w:left w:val="none" w:sz="0" w:space="0" w:color="auto"/>
        <w:bottom w:val="none" w:sz="0" w:space="0" w:color="auto"/>
        <w:right w:val="none" w:sz="0" w:space="0" w:color="auto"/>
      </w:divBdr>
      <w:divsChild>
        <w:div w:id="150491454">
          <w:marLeft w:val="547"/>
          <w:marRight w:val="0"/>
          <w:marTop w:val="0"/>
          <w:marBottom w:val="0"/>
          <w:divBdr>
            <w:top w:val="none" w:sz="0" w:space="0" w:color="auto"/>
            <w:left w:val="none" w:sz="0" w:space="0" w:color="auto"/>
            <w:bottom w:val="none" w:sz="0" w:space="0" w:color="auto"/>
            <w:right w:val="none" w:sz="0" w:space="0" w:color="auto"/>
          </w:divBdr>
        </w:div>
        <w:div w:id="230583470">
          <w:marLeft w:val="547"/>
          <w:marRight w:val="0"/>
          <w:marTop w:val="0"/>
          <w:marBottom w:val="0"/>
          <w:divBdr>
            <w:top w:val="none" w:sz="0" w:space="0" w:color="auto"/>
            <w:left w:val="none" w:sz="0" w:space="0" w:color="auto"/>
            <w:bottom w:val="none" w:sz="0" w:space="0" w:color="auto"/>
            <w:right w:val="none" w:sz="0" w:space="0" w:color="auto"/>
          </w:divBdr>
        </w:div>
        <w:div w:id="265694427">
          <w:marLeft w:val="547"/>
          <w:marRight w:val="0"/>
          <w:marTop w:val="0"/>
          <w:marBottom w:val="0"/>
          <w:divBdr>
            <w:top w:val="none" w:sz="0" w:space="0" w:color="auto"/>
            <w:left w:val="none" w:sz="0" w:space="0" w:color="auto"/>
            <w:bottom w:val="none" w:sz="0" w:space="0" w:color="auto"/>
            <w:right w:val="none" w:sz="0" w:space="0" w:color="auto"/>
          </w:divBdr>
        </w:div>
        <w:div w:id="400715619">
          <w:marLeft w:val="547"/>
          <w:marRight w:val="0"/>
          <w:marTop w:val="0"/>
          <w:marBottom w:val="0"/>
          <w:divBdr>
            <w:top w:val="none" w:sz="0" w:space="0" w:color="auto"/>
            <w:left w:val="none" w:sz="0" w:space="0" w:color="auto"/>
            <w:bottom w:val="none" w:sz="0" w:space="0" w:color="auto"/>
            <w:right w:val="none" w:sz="0" w:space="0" w:color="auto"/>
          </w:divBdr>
        </w:div>
        <w:div w:id="420873614">
          <w:marLeft w:val="547"/>
          <w:marRight w:val="0"/>
          <w:marTop w:val="0"/>
          <w:marBottom w:val="0"/>
          <w:divBdr>
            <w:top w:val="none" w:sz="0" w:space="0" w:color="auto"/>
            <w:left w:val="none" w:sz="0" w:space="0" w:color="auto"/>
            <w:bottom w:val="none" w:sz="0" w:space="0" w:color="auto"/>
            <w:right w:val="none" w:sz="0" w:space="0" w:color="auto"/>
          </w:divBdr>
        </w:div>
        <w:div w:id="598872653">
          <w:marLeft w:val="547"/>
          <w:marRight w:val="0"/>
          <w:marTop w:val="0"/>
          <w:marBottom w:val="0"/>
          <w:divBdr>
            <w:top w:val="none" w:sz="0" w:space="0" w:color="auto"/>
            <w:left w:val="none" w:sz="0" w:space="0" w:color="auto"/>
            <w:bottom w:val="none" w:sz="0" w:space="0" w:color="auto"/>
            <w:right w:val="none" w:sz="0" w:space="0" w:color="auto"/>
          </w:divBdr>
        </w:div>
        <w:div w:id="619803451">
          <w:marLeft w:val="547"/>
          <w:marRight w:val="0"/>
          <w:marTop w:val="0"/>
          <w:marBottom w:val="0"/>
          <w:divBdr>
            <w:top w:val="none" w:sz="0" w:space="0" w:color="auto"/>
            <w:left w:val="none" w:sz="0" w:space="0" w:color="auto"/>
            <w:bottom w:val="none" w:sz="0" w:space="0" w:color="auto"/>
            <w:right w:val="none" w:sz="0" w:space="0" w:color="auto"/>
          </w:divBdr>
        </w:div>
        <w:div w:id="627080111">
          <w:marLeft w:val="547"/>
          <w:marRight w:val="0"/>
          <w:marTop w:val="0"/>
          <w:marBottom w:val="0"/>
          <w:divBdr>
            <w:top w:val="none" w:sz="0" w:space="0" w:color="auto"/>
            <w:left w:val="none" w:sz="0" w:space="0" w:color="auto"/>
            <w:bottom w:val="none" w:sz="0" w:space="0" w:color="auto"/>
            <w:right w:val="none" w:sz="0" w:space="0" w:color="auto"/>
          </w:divBdr>
        </w:div>
        <w:div w:id="666400986">
          <w:marLeft w:val="547"/>
          <w:marRight w:val="0"/>
          <w:marTop w:val="0"/>
          <w:marBottom w:val="0"/>
          <w:divBdr>
            <w:top w:val="none" w:sz="0" w:space="0" w:color="auto"/>
            <w:left w:val="none" w:sz="0" w:space="0" w:color="auto"/>
            <w:bottom w:val="none" w:sz="0" w:space="0" w:color="auto"/>
            <w:right w:val="none" w:sz="0" w:space="0" w:color="auto"/>
          </w:divBdr>
        </w:div>
        <w:div w:id="773093888">
          <w:marLeft w:val="547"/>
          <w:marRight w:val="0"/>
          <w:marTop w:val="0"/>
          <w:marBottom w:val="0"/>
          <w:divBdr>
            <w:top w:val="none" w:sz="0" w:space="0" w:color="auto"/>
            <w:left w:val="none" w:sz="0" w:space="0" w:color="auto"/>
            <w:bottom w:val="none" w:sz="0" w:space="0" w:color="auto"/>
            <w:right w:val="none" w:sz="0" w:space="0" w:color="auto"/>
          </w:divBdr>
        </w:div>
        <w:div w:id="824593957">
          <w:marLeft w:val="547"/>
          <w:marRight w:val="0"/>
          <w:marTop w:val="0"/>
          <w:marBottom w:val="0"/>
          <w:divBdr>
            <w:top w:val="none" w:sz="0" w:space="0" w:color="auto"/>
            <w:left w:val="none" w:sz="0" w:space="0" w:color="auto"/>
            <w:bottom w:val="none" w:sz="0" w:space="0" w:color="auto"/>
            <w:right w:val="none" w:sz="0" w:space="0" w:color="auto"/>
          </w:divBdr>
        </w:div>
        <w:div w:id="1128890042">
          <w:marLeft w:val="547"/>
          <w:marRight w:val="0"/>
          <w:marTop w:val="0"/>
          <w:marBottom w:val="0"/>
          <w:divBdr>
            <w:top w:val="none" w:sz="0" w:space="0" w:color="auto"/>
            <w:left w:val="none" w:sz="0" w:space="0" w:color="auto"/>
            <w:bottom w:val="none" w:sz="0" w:space="0" w:color="auto"/>
            <w:right w:val="none" w:sz="0" w:space="0" w:color="auto"/>
          </w:divBdr>
        </w:div>
        <w:div w:id="1277636859">
          <w:marLeft w:val="547"/>
          <w:marRight w:val="0"/>
          <w:marTop w:val="0"/>
          <w:marBottom w:val="0"/>
          <w:divBdr>
            <w:top w:val="none" w:sz="0" w:space="0" w:color="auto"/>
            <w:left w:val="none" w:sz="0" w:space="0" w:color="auto"/>
            <w:bottom w:val="none" w:sz="0" w:space="0" w:color="auto"/>
            <w:right w:val="none" w:sz="0" w:space="0" w:color="auto"/>
          </w:divBdr>
        </w:div>
        <w:div w:id="1278412788">
          <w:marLeft w:val="547"/>
          <w:marRight w:val="0"/>
          <w:marTop w:val="0"/>
          <w:marBottom w:val="0"/>
          <w:divBdr>
            <w:top w:val="none" w:sz="0" w:space="0" w:color="auto"/>
            <w:left w:val="none" w:sz="0" w:space="0" w:color="auto"/>
            <w:bottom w:val="none" w:sz="0" w:space="0" w:color="auto"/>
            <w:right w:val="none" w:sz="0" w:space="0" w:color="auto"/>
          </w:divBdr>
        </w:div>
        <w:div w:id="1693922938">
          <w:marLeft w:val="547"/>
          <w:marRight w:val="0"/>
          <w:marTop w:val="0"/>
          <w:marBottom w:val="0"/>
          <w:divBdr>
            <w:top w:val="none" w:sz="0" w:space="0" w:color="auto"/>
            <w:left w:val="none" w:sz="0" w:space="0" w:color="auto"/>
            <w:bottom w:val="none" w:sz="0" w:space="0" w:color="auto"/>
            <w:right w:val="none" w:sz="0" w:space="0" w:color="auto"/>
          </w:divBdr>
        </w:div>
        <w:div w:id="1703626853">
          <w:marLeft w:val="547"/>
          <w:marRight w:val="0"/>
          <w:marTop w:val="0"/>
          <w:marBottom w:val="0"/>
          <w:divBdr>
            <w:top w:val="none" w:sz="0" w:space="0" w:color="auto"/>
            <w:left w:val="none" w:sz="0" w:space="0" w:color="auto"/>
            <w:bottom w:val="none" w:sz="0" w:space="0" w:color="auto"/>
            <w:right w:val="none" w:sz="0" w:space="0" w:color="auto"/>
          </w:divBdr>
        </w:div>
        <w:div w:id="18666726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estnet.org/Guidelines-and-Topic-Collections" TargetMode="External"/><Relationship Id="rId18" Type="http://schemas.openxmlformats.org/officeDocument/2006/relationships/hyperlink" Target="https://www.cdc.gov/infectioncontrol/guidelines/ssi/index.html" TargetMode="External"/><Relationship Id="rId26" Type="http://schemas.openxmlformats.org/officeDocument/2006/relationships/hyperlink" Target="https://doi.org/10.1177%2F215145851875445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hrombosiscanada.ca/wp-content/uploads/2017/04/VTE-Risk-Assessment-Tool-Caprini-Score-Card-Eng-30Apr2018.pdf" TargetMode="External"/><Relationship Id="rId34" Type="http://schemas.openxmlformats.org/officeDocument/2006/relationships/hyperlink" Target="https://doi.org/10.1213/ANE.0000000000003696" TargetMode="External"/><Relationship Id="rId7" Type="http://schemas.openxmlformats.org/officeDocument/2006/relationships/webSettings" Target="webSettings.xml"/><Relationship Id="rId12" Type="http://schemas.openxmlformats.org/officeDocument/2006/relationships/hyperlink" Target="https://www.ahrq.gov/hai/tools/enhanced-recovery/implementing/patient-booklets.html" TargetMode="External"/><Relationship Id="rId17" Type="http://schemas.openxmlformats.org/officeDocument/2006/relationships/hyperlink" Target="https://www.cdc.gov/infectioncontrol/guidelines/ssi/index.html" TargetMode="External"/><Relationship Id="rId25" Type="http://schemas.openxmlformats.org/officeDocument/2006/relationships/hyperlink" Target="http://dx.doi.org/10.1016/j.jamcollsurg.2017.06.017" TargetMode="External"/><Relationship Id="rId33" Type="http://schemas.openxmlformats.org/officeDocument/2006/relationships/hyperlink" Target="https://doi.org/10.1016/j.jamcollsurg.2018.09.02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rombosiscanada.ca/wp-content/uploads/2017/04/VTE-Risk-Assessment-Tool-Caprini-Score-Card-Eng-30Apr2018.pdf" TargetMode="External"/><Relationship Id="rId20" Type="http://schemas.openxmlformats.org/officeDocument/2006/relationships/hyperlink" Target="https://www.ahrq.gov/patient-safety/resources/vtguide/guide4.html" TargetMode="External"/><Relationship Id="rId29" Type="http://schemas.openxmlformats.org/officeDocument/2006/relationships/hyperlink" Target="https://doi.org/10.1016/j.ajog.2018.07.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yperlink" Target="https://doi.org/10.1136/rapm-2018-100071" TargetMode="Externa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ahrq.gov/patient-safety/resources/vtguide/guide4.html" TargetMode="External"/><Relationship Id="rId23" Type="http://schemas.openxmlformats.org/officeDocument/2006/relationships/hyperlink" Target="https://michigan-open.org/prescribing-recommendations/" TargetMode="External"/><Relationship Id="rId28" Type="http://schemas.openxmlformats.org/officeDocument/2006/relationships/hyperlink" Target="https://doi.org/10.1213/ANE.0000000000003564" TargetMode="External"/><Relationship Id="rId36" Type="http://schemas.openxmlformats.org/officeDocument/2006/relationships/hyperlink" Target="https://doi.org/10.1016/j.jamcollsurg.2020.08.772" TargetMode="External"/><Relationship Id="rId10" Type="http://schemas.openxmlformats.org/officeDocument/2006/relationships/footer" Target="footer1.xml"/><Relationship Id="rId19" Type="http://schemas.openxmlformats.org/officeDocument/2006/relationships/hyperlink" Target="https://www.cdc.gov/hicpac/index.html" TargetMode="External"/><Relationship Id="rId31" Type="http://schemas.openxmlformats.org/officeDocument/2006/relationships/hyperlink" Target="https://doi.org/10.1213/ANE.00000000000039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hpublications.org/bloodadvances/article/3/23/3898/429211/American-Society-of-Hematology-2019-guidelines-for" TargetMode="External"/><Relationship Id="rId22" Type="http://schemas.openxmlformats.org/officeDocument/2006/relationships/hyperlink" Target="https://www.facs.org/for-medical-professionals/education/for-your-patients/resources-for-safe-pain-control/medical-professionals/" TargetMode="External"/><Relationship Id="rId27" Type="http://schemas.openxmlformats.org/officeDocument/2006/relationships/hyperlink" Target="https://doi.org/10.1177/2151459318769215" TargetMode="External"/><Relationship Id="rId30" Type="http://schemas.openxmlformats.org/officeDocument/2006/relationships/hyperlink" Target="https://doi.org/10.1213/ANE.0000000000003663" TargetMode="External"/><Relationship Id="rId35" Type="http://schemas.openxmlformats.org/officeDocument/2006/relationships/hyperlink" Target="https://doi.org/10.1016/j.jamcollsurg.2019.11.0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irley1\Johns%20Hopkins\Michael%20Rosen%20-%20AHRQ%20ISCR%20Program\AHRQ%20ISCR%20Toolkit\ISC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BE116744E334EBB3562AA2280D2FF" ma:contentTypeVersion="14" ma:contentTypeDescription="Create a new document." ma:contentTypeScope="" ma:versionID="446370ac93aa8e06301dd59e2cf19552">
  <xsd:schema xmlns:xsd="http://www.w3.org/2001/XMLSchema" xmlns:xs="http://www.w3.org/2001/XMLSchema" xmlns:p="http://schemas.microsoft.com/office/2006/metadata/properties" xmlns:ns3="9f067f2d-e8bb-412e-846e-b801447205f9" xmlns:ns4="77272bc8-39f8-4206-845f-c899697fc56f" targetNamespace="http://schemas.microsoft.com/office/2006/metadata/properties" ma:root="true" ma:fieldsID="09651e988dd2fb7e22eff1cdf5ed9386" ns3:_="" ns4:_="">
    <xsd:import namespace="9f067f2d-e8bb-412e-846e-b801447205f9"/>
    <xsd:import namespace="77272bc8-39f8-4206-845f-c899697fc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67f2d-e8bb-412e-846e-b801447205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72bc8-39f8-4206-845f-c899697fc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8A0E-2B0B-48B1-9D1D-0D7C1BA0D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67f2d-e8bb-412e-846e-b801447205f9"/>
    <ds:schemaRef ds:uri="77272bc8-39f8-4206-845f-c899697fc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77076-6381-4B52-9556-9E30A0F0D239}">
  <ds:schemaRefs>
    <ds:schemaRef ds:uri="http://schemas.microsoft.com/sharepoint/v3/contenttype/forms"/>
  </ds:schemaRefs>
</ds:datastoreItem>
</file>

<file path=customXml/itemProps3.xml><?xml version="1.0" encoding="utf-8"?>
<ds:datastoreItem xmlns:ds="http://schemas.openxmlformats.org/officeDocument/2006/customXml" ds:itemID="{BB13DBDA-CCF6-4D87-89DA-476E171B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ISCR Template.dotx</Template>
  <TotalTime>20</TotalTime>
  <Pages>44</Pages>
  <Words>12803</Words>
  <Characters>82966</Characters>
  <Application>Microsoft Office Word</Application>
  <DocSecurity>0</DocSecurity>
  <Lines>2592</Lines>
  <Paragraphs>1330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Hanahan</dc:creator>
  <cp:keywords/>
  <dc:description/>
  <cp:lastModifiedBy>Nawrocki, Laura (AHRQ/OC) (CTR)</cp:lastModifiedBy>
  <cp:revision>6</cp:revision>
  <dcterms:created xsi:type="dcterms:W3CDTF">2022-12-20T16:03:00Z</dcterms:created>
  <dcterms:modified xsi:type="dcterms:W3CDTF">2023-06-09T05:42:00Z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0x010100149BE116744E334EBB3562AA2280D2FF</vt:lpwstr>
  </property>
</Properties>
</file>