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984AD" w14:textId="4BA50C23" w:rsidR="009E68D0" w:rsidRPr="009F49B7" w:rsidRDefault="009E68D0" w:rsidP="009E68D0">
      <w:pPr>
        <w:ind w:left="540" w:hanging="540"/>
        <w:jc w:val="both"/>
        <w:rPr>
          <w:rFonts w:ascii="Verdana" w:hAnsi="Verdana" w:cstheme="majorHAnsi"/>
          <w:b/>
          <w:sz w:val="28"/>
          <w:szCs w:val="28"/>
          <w:lang w:val="en-NZ"/>
        </w:rPr>
      </w:pPr>
      <w:bookmarkStart w:id="0" w:name="_GoBack"/>
      <w:bookmarkEnd w:id="0"/>
      <w:r w:rsidRPr="009F49B7">
        <w:rPr>
          <w:rFonts w:ascii="Verdana" w:hAnsi="Verdana" w:cstheme="majorHAnsi"/>
          <w:b/>
          <w:sz w:val="28"/>
          <w:szCs w:val="28"/>
          <w:lang w:val="en-NZ"/>
        </w:rPr>
        <w:t>1</w:t>
      </w:r>
      <w:r w:rsidRPr="009F49B7">
        <w:rPr>
          <w:rFonts w:ascii="Verdana" w:hAnsi="Verdana" w:cstheme="majorHAnsi"/>
          <w:b/>
          <w:sz w:val="28"/>
          <w:szCs w:val="28"/>
          <w:lang w:val="en-NZ"/>
        </w:rPr>
        <w:tab/>
        <w:t>Introduction and Vision</w:t>
      </w:r>
    </w:p>
    <w:p w14:paraId="2593E83F" w14:textId="77777777" w:rsidR="009E68D0" w:rsidRPr="009F49B7" w:rsidRDefault="009E68D0" w:rsidP="009E68D0">
      <w:pPr>
        <w:jc w:val="both"/>
        <w:rPr>
          <w:rFonts w:ascii="Verdana" w:hAnsi="Verdana" w:cstheme="majorHAnsi"/>
          <w:sz w:val="28"/>
          <w:szCs w:val="28"/>
          <w:lang w:val="en-NZ"/>
        </w:rPr>
      </w:pPr>
    </w:p>
    <w:p w14:paraId="3641750E" w14:textId="1179E462" w:rsidR="009E68D0" w:rsidRPr="009F49B7" w:rsidRDefault="009E68D0" w:rsidP="4B8AF2C6">
      <w:pPr>
        <w:jc w:val="both"/>
        <w:rPr>
          <w:rFonts w:ascii="Verdana" w:hAnsi="Verdana" w:cstheme="majorBidi"/>
          <w:sz w:val="28"/>
          <w:szCs w:val="28"/>
          <w:lang w:val="en-NZ"/>
        </w:rPr>
      </w:pPr>
      <w:r w:rsidRPr="4B8AF2C6">
        <w:rPr>
          <w:rFonts w:ascii="Verdana" w:hAnsi="Verdana" w:cstheme="majorBidi"/>
          <w:sz w:val="28"/>
          <w:szCs w:val="28"/>
          <w:lang w:val="en-NZ"/>
        </w:rPr>
        <w:t xml:space="preserve">The APEC Telecommunications and Information Working Group (TELWG) was established in 1990 and has since met biannually to advance the development of information and communication technology (ICTs) infrastructure and services as well as </w:t>
      </w:r>
      <w:r w:rsidRPr="009F49B7">
        <w:rPr>
          <w:rFonts w:ascii="Verdana" w:hAnsi="Verdana"/>
          <w:sz w:val="28"/>
          <w:szCs w:val="28"/>
        </w:rPr>
        <w:t>to promote cooperation, information sharing and the development of effective ICT policies and regulations within the</w:t>
      </w:r>
      <w:r w:rsidR="00623670">
        <w:rPr>
          <w:rFonts w:ascii="Verdana" w:hAnsi="Verdana"/>
          <w:sz w:val="28"/>
          <w:szCs w:val="28"/>
        </w:rPr>
        <w:t xml:space="preserve"> </w:t>
      </w:r>
      <w:r w:rsidR="005D2506">
        <w:rPr>
          <w:rFonts w:ascii="Verdana" w:hAnsi="Verdana"/>
          <w:sz w:val="28"/>
          <w:szCs w:val="28"/>
        </w:rPr>
        <w:t>Asia-Pacific</w:t>
      </w:r>
      <w:r w:rsidRPr="009F49B7">
        <w:rPr>
          <w:rFonts w:ascii="Verdana" w:hAnsi="Verdana"/>
          <w:sz w:val="28"/>
          <w:szCs w:val="28"/>
        </w:rPr>
        <w:t xml:space="preserve"> region. </w:t>
      </w:r>
      <w:r w:rsidRPr="4B8AF2C6">
        <w:rPr>
          <w:rFonts w:ascii="Verdana" w:hAnsi="Verdana" w:cstheme="majorBidi"/>
          <w:sz w:val="28"/>
          <w:szCs w:val="28"/>
          <w:lang w:val="en-NZ"/>
        </w:rPr>
        <w:t xml:space="preserve">It also aims to enhance social and economic development through effective use of ICTs and promote </w:t>
      </w:r>
      <w:r w:rsidRPr="4B8AF2C6">
        <w:rPr>
          <w:rFonts w:ascii="Verdana" w:hAnsi="Verdana" w:cstheme="majorBidi"/>
          <w:sz w:val="28"/>
          <w:szCs w:val="28"/>
          <w:shd w:val="clear" w:color="auto" w:fill="FFFFFF" w:themeFill="background1"/>
          <w:lang w:val="en-NZ"/>
        </w:rPr>
        <w:t>a secure</w:t>
      </w:r>
      <w:r w:rsidRPr="4B8AF2C6">
        <w:rPr>
          <w:rFonts w:ascii="Verdana" w:hAnsi="Verdana" w:cstheme="majorBidi"/>
          <w:sz w:val="28"/>
          <w:szCs w:val="28"/>
          <w:lang w:val="en-NZ"/>
        </w:rPr>
        <w:t xml:space="preserve"> and trusted ICT environment.</w:t>
      </w:r>
    </w:p>
    <w:p w14:paraId="08346E75" w14:textId="77777777" w:rsidR="009E68D0" w:rsidRPr="009F49B7" w:rsidRDefault="009E68D0" w:rsidP="009E68D0">
      <w:pPr>
        <w:jc w:val="both"/>
        <w:rPr>
          <w:rFonts w:ascii="Verdana" w:hAnsi="Verdana" w:cstheme="majorHAnsi"/>
          <w:sz w:val="28"/>
          <w:szCs w:val="28"/>
          <w:lang w:val="en-NZ"/>
        </w:rPr>
      </w:pPr>
    </w:p>
    <w:p w14:paraId="4D6E900F" w14:textId="7EC88391" w:rsidR="00CA5D32" w:rsidRDefault="00B82912" w:rsidP="70893E8A">
      <w:pPr>
        <w:jc w:val="both"/>
        <w:rPr>
          <w:rFonts w:ascii="Verdana" w:hAnsi="Verdana" w:cstheme="majorBidi"/>
          <w:sz w:val="28"/>
          <w:szCs w:val="28"/>
          <w:lang w:val="en-NZ"/>
        </w:rPr>
      </w:pPr>
      <w:r w:rsidRPr="70893E8A">
        <w:rPr>
          <w:rFonts w:ascii="Verdana" w:hAnsi="Verdana" w:cstheme="majorBidi"/>
          <w:sz w:val="28"/>
          <w:szCs w:val="28"/>
          <w:lang w:val="en-NZ"/>
        </w:rPr>
        <w:t xml:space="preserve">The TELWG envisions </w:t>
      </w:r>
      <w:r w:rsidR="00EA6BA8" w:rsidRPr="70893E8A">
        <w:rPr>
          <w:rFonts w:ascii="Verdana" w:hAnsi="Verdana" w:cstheme="majorBidi"/>
          <w:sz w:val="28"/>
          <w:szCs w:val="28"/>
          <w:lang w:val="en-NZ"/>
        </w:rPr>
        <w:t>an</w:t>
      </w:r>
      <w:r w:rsidRPr="70893E8A">
        <w:rPr>
          <w:rFonts w:ascii="Verdana" w:hAnsi="Verdana" w:cstheme="majorBidi"/>
          <w:sz w:val="28"/>
          <w:szCs w:val="28"/>
          <w:lang w:val="en-NZ"/>
        </w:rPr>
        <w:t xml:space="preserve"> APEC region in which all people have </w:t>
      </w:r>
      <w:r w:rsidR="00894F6B" w:rsidRPr="70893E8A">
        <w:rPr>
          <w:rFonts w:ascii="Verdana" w:hAnsi="Verdana" w:cstheme="majorBidi"/>
          <w:sz w:val="28"/>
          <w:szCs w:val="28"/>
          <w:lang w:val="en-NZ"/>
        </w:rPr>
        <w:t>affordable</w:t>
      </w:r>
      <w:r w:rsidRPr="70893E8A">
        <w:rPr>
          <w:rFonts w:ascii="Verdana" w:hAnsi="Verdana" w:cstheme="majorBidi"/>
          <w:sz w:val="28"/>
          <w:szCs w:val="28"/>
          <w:lang w:val="en-NZ"/>
        </w:rPr>
        <w:t xml:space="preserve"> access to the internet, and </w:t>
      </w:r>
      <w:r w:rsidR="00EA6BA8" w:rsidRPr="70893E8A">
        <w:rPr>
          <w:rFonts w:ascii="Verdana" w:hAnsi="Verdana" w:cstheme="majorBidi"/>
          <w:sz w:val="28"/>
          <w:szCs w:val="28"/>
          <w:lang w:val="en-NZ"/>
        </w:rPr>
        <w:t>where</w:t>
      </w:r>
      <w:r w:rsidRPr="70893E8A">
        <w:rPr>
          <w:rFonts w:ascii="Verdana" w:hAnsi="Verdana" w:cstheme="majorBidi"/>
          <w:sz w:val="28"/>
          <w:szCs w:val="28"/>
          <w:lang w:val="en-NZ"/>
        </w:rPr>
        <w:t xml:space="preserve"> ICTs are used </w:t>
      </w:r>
      <w:r w:rsidR="00EA6BA8" w:rsidRPr="70893E8A">
        <w:rPr>
          <w:rFonts w:ascii="Verdana" w:hAnsi="Verdana" w:cstheme="majorBidi"/>
          <w:sz w:val="28"/>
          <w:szCs w:val="28"/>
          <w:lang w:val="en-NZ"/>
        </w:rPr>
        <w:t xml:space="preserve">to drive economic growth </w:t>
      </w:r>
      <w:r w:rsidRPr="70893E8A">
        <w:rPr>
          <w:rFonts w:ascii="Verdana" w:hAnsi="Verdana" w:cstheme="majorBidi"/>
          <w:sz w:val="28"/>
          <w:szCs w:val="28"/>
          <w:lang w:val="en-NZ"/>
        </w:rPr>
        <w:t>for the benefit of people</w:t>
      </w:r>
      <w:r w:rsidR="00EA6BA8" w:rsidRPr="70893E8A">
        <w:rPr>
          <w:rFonts w:ascii="Verdana" w:hAnsi="Verdana" w:cstheme="majorBidi"/>
          <w:sz w:val="28"/>
          <w:szCs w:val="28"/>
          <w:lang w:val="en-NZ"/>
        </w:rPr>
        <w:t>.</w:t>
      </w:r>
      <w:r w:rsidR="00CA5D32" w:rsidRPr="70893E8A">
        <w:rPr>
          <w:rFonts w:ascii="Verdana" w:hAnsi="Verdana" w:cstheme="majorBidi"/>
          <w:sz w:val="28"/>
          <w:szCs w:val="28"/>
          <w:lang w:val="en-NZ"/>
        </w:rPr>
        <w:t xml:space="preserve"> In 2000, Leaders set the Brunei Darussalam goal of universal Internet access by 2010; the 2008 TEL Bangkok Declaration</w:t>
      </w:r>
      <w:r w:rsidR="00623670">
        <w:rPr>
          <w:rFonts w:ascii="Verdana" w:hAnsi="Verdana" w:cstheme="majorBidi"/>
          <w:sz w:val="28"/>
          <w:szCs w:val="28"/>
          <w:lang w:val="en-NZ"/>
        </w:rPr>
        <w:t xml:space="preserve"> </w:t>
      </w:r>
      <w:r w:rsidR="00623670" w:rsidRPr="00FD33E9">
        <w:rPr>
          <w:rFonts w:ascii="Verdana" w:eastAsia="Verdana" w:hAnsi="Verdana" w:cs="Verdana"/>
          <w:sz w:val="28"/>
          <w:szCs w:val="28"/>
          <w:lang w:val="en-NZ"/>
        </w:rPr>
        <w:t>reaffirmed our commitment to universal internet access and</w:t>
      </w:r>
      <w:r w:rsidR="00CA5D32" w:rsidRPr="00FD33E9">
        <w:rPr>
          <w:rFonts w:ascii="Verdana" w:hAnsi="Verdana" w:cstheme="majorBidi"/>
          <w:sz w:val="28"/>
          <w:szCs w:val="28"/>
          <w:lang w:val="en-NZ"/>
        </w:rPr>
        <w:t xml:space="preserve"> </w:t>
      </w:r>
      <w:r w:rsidR="00CA5D32" w:rsidRPr="70893E8A">
        <w:rPr>
          <w:rFonts w:ascii="Verdana" w:hAnsi="Verdana" w:cstheme="majorBidi"/>
          <w:sz w:val="28"/>
          <w:szCs w:val="28"/>
          <w:lang w:val="en-NZ"/>
        </w:rPr>
        <w:t>affirmed our commitment toward achieving universal access to broadband by 2015;</w:t>
      </w:r>
      <w:r w:rsidR="00E33AA8" w:rsidRPr="70893E8A">
        <w:rPr>
          <w:rFonts w:ascii="Verdana" w:hAnsi="Verdana" w:cstheme="majorBidi"/>
          <w:sz w:val="28"/>
          <w:szCs w:val="28"/>
          <w:lang w:val="en-NZ"/>
        </w:rPr>
        <w:t xml:space="preserve"> </w:t>
      </w:r>
      <w:r w:rsidR="00CA5D32" w:rsidRPr="70893E8A">
        <w:rPr>
          <w:rFonts w:ascii="Verdana" w:hAnsi="Verdana" w:cstheme="majorBidi"/>
          <w:sz w:val="28"/>
          <w:szCs w:val="28"/>
          <w:lang w:val="en-NZ"/>
        </w:rPr>
        <w:t>the 2010 TEL Okinawa Declaration set the ambitious goal of access to next generation high speed broadband by 2020, to further enhance the growth of knowledge-based economies in the APEC region</w:t>
      </w:r>
      <w:r w:rsidR="00E85ADA" w:rsidRPr="70893E8A">
        <w:rPr>
          <w:rFonts w:ascii="Verdana" w:hAnsi="Verdana" w:cstheme="majorBidi"/>
          <w:sz w:val="28"/>
          <w:szCs w:val="28"/>
          <w:lang w:val="en-NZ"/>
        </w:rPr>
        <w:t>;</w:t>
      </w:r>
      <w:r w:rsidR="00CA5D32" w:rsidRPr="70893E8A">
        <w:rPr>
          <w:rFonts w:ascii="Verdana" w:hAnsi="Verdana" w:cstheme="majorBidi"/>
          <w:sz w:val="28"/>
          <w:szCs w:val="28"/>
          <w:lang w:val="en-NZ"/>
        </w:rPr>
        <w:t xml:space="preserve"> </w:t>
      </w:r>
      <w:r w:rsidR="00E85ADA" w:rsidRPr="70893E8A">
        <w:rPr>
          <w:rFonts w:ascii="Verdana" w:hAnsi="Verdana" w:cstheme="majorBidi"/>
          <w:sz w:val="28"/>
          <w:szCs w:val="28"/>
          <w:lang w:val="en-NZ"/>
        </w:rPr>
        <w:t>in 2014, Leaders noted the importance of promoting the Internet Economy; and in 2017, Leaders welcomed the adoption of the APEC Internet and Digital Economy Roadmap.</w:t>
      </w:r>
      <w:r w:rsidR="005651BA" w:rsidRPr="70893E8A">
        <w:rPr>
          <w:rFonts w:ascii="Verdana" w:hAnsi="Verdana" w:cstheme="majorBidi"/>
          <w:sz w:val="28"/>
          <w:szCs w:val="28"/>
          <w:lang w:val="en-NZ"/>
        </w:rPr>
        <w:t xml:space="preserve"> </w:t>
      </w:r>
    </w:p>
    <w:p w14:paraId="55A3FC8A" w14:textId="77777777" w:rsidR="00CA5D32" w:rsidRDefault="00CA5D32" w:rsidP="006377F1">
      <w:pPr>
        <w:jc w:val="both"/>
        <w:rPr>
          <w:rFonts w:ascii="Verdana" w:hAnsi="Verdana" w:cstheme="majorHAnsi"/>
          <w:sz w:val="28"/>
          <w:szCs w:val="28"/>
          <w:lang w:val="en-NZ"/>
        </w:rPr>
      </w:pPr>
    </w:p>
    <w:p w14:paraId="3DB328F8" w14:textId="0AB132A7" w:rsidR="00CA5D32" w:rsidRDefault="00CA5D32" w:rsidP="785B6C82">
      <w:pPr>
        <w:jc w:val="both"/>
        <w:rPr>
          <w:rFonts w:ascii="Verdana" w:hAnsi="Verdana" w:cstheme="majorBidi"/>
          <w:sz w:val="28"/>
          <w:szCs w:val="28"/>
          <w:lang w:val="en-NZ"/>
        </w:rPr>
      </w:pPr>
      <w:r w:rsidRPr="785B6C82">
        <w:rPr>
          <w:rFonts w:ascii="Verdana" w:hAnsi="Verdana" w:cstheme="majorBidi"/>
          <w:sz w:val="28"/>
          <w:szCs w:val="28"/>
          <w:lang w:val="en-NZ"/>
        </w:rPr>
        <w:t xml:space="preserve">The TELWG will </w:t>
      </w:r>
      <w:r w:rsidRPr="785B6C82">
        <w:rPr>
          <w:rFonts w:ascii="Verdana" w:hAnsi="Verdana"/>
          <w:sz w:val="28"/>
          <w:szCs w:val="28"/>
        </w:rPr>
        <w:t>continue to support the</w:t>
      </w:r>
      <w:r w:rsidR="003F5D47" w:rsidRPr="785B6C82">
        <w:rPr>
          <w:rFonts w:ascii="Verdana" w:hAnsi="Verdana"/>
          <w:sz w:val="28"/>
          <w:szCs w:val="28"/>
        </w:rPr>
        <w:t xml:space="preserve"> </w:t>
      </w:r>
      <w:r w:rsidRPr="785B6C82">
        <w:rPr>
          <w:rFonts w:ascii="Verdana" w:hAnsi="Verdana"/>
          <w:sz w:val="28"/>
          <w:szCs w:val="28"/>
        </w:rPr>
        <w:t>broader APEC goals to create greater prosperity for the people of the region by promoting balanced, inclusive, sustainable, innovative and secure growth and by accelerating regional economic integration.</w:t>
      </w:r>
      <w:r w:rsidRPr="785B6C82">
        <w:rPr>
          <w:rFonts w:ascii="Verdana" w:hAnsi="Verdana" w:cstheme="majorBidi"/>
          <w:sz w:val="28"/>
          <w:szCs w:val="28"/>
          <w:lang w:val="en-NZ"/>
        </w:rPr>
        <w:t xml:space="preserve"> </w:t>
      </w:r>
    </w:p>
    <w:p w14:paraId="06C93096" w14:textId="77777777" w:rsidR="00CA5D32" w:rsidRDefault="00CA5D32" w:rsidP="006377F1">
      <w:pPr>
        <w:jc w:val="both"/>
        <w:rPr>
          <w:rFonts w:ascii="Verdana" w:hAnsi="Verdana" w:cstheme="majorHAnsi"/>
          <w:sz w:val="28"/>
          <w:szCs w:val="28"/>
          <w:lang w:val="en-NZ"/>
        </w:rPr>
      </w:pPr>
    </w:p>
    <w:p w14:paraId="20EB0A2A" w14:textId="183C1A41" w:rsidR="006F0588" w:rsidRDefault="009E68D0" w:rsidP="785B6C82">
      <w:pPr>
        <w:jc w:val="both"/>
        <w:rPr>
          <w:rFonts w:ascii="Verdana" w:hAnsi="Verdana" w:cstheme="majorBidi"/>
          <w:sz w:val="28"/>
          <w:szCs w:val="28"/>
          <w:lang w:val="en-NZ"/>
        </w:rPr>
      </w:pPr>
      <w:r w:rsidRPr="785B6C82">
        <w:rPr>
          <w:rFonts w:ascii="Verdana" w:eastAsia="Times New Roman" w:hAnsi="Verdana" w:cs="Tahoma"/>
          <w:color w:val="000000" w:themeColor="text1"/>
          <w:sz w:val="28"/>
          <w:szCs w:val="28"/>
          <w:lang w:eastAsia="en-SG"/>
        </w:rPr>
        <w:t>The TELWG is a working group-level for</w:t>
      </w:r>
      <w:r w:rsidR="006F0588" w:rsidRPr="785B6C82">
        <w:rPr>
          <w:rFonts w:ascii="Verdana" w:eastAsia="Times New Roman" w:hAnsi="Verdana" w:cs="Tahoma"/>
          <w:color w:val="000000" w:themeColor="text1"/>
          <w:sz w:val="28"/>
          <w:szCs w:val="28"/>
          <w:lang w:eastAsia="en-SG"/>
        </w:rPr>
        <w:t>um</w:t>
      </w:r>
      <w:r w:rsidRPr="785B6C82">
        <w:rPr>
          <w:rFonts w:ascii="Verdana" w:eastAsia="Times New Roman" w:hAnsi="Verdana" w:cs="Tahoma"/>
          <w:color w:val="000000" w:themeColor="text1"/>
          <w:sz w:val="28"/>
          <w:szCs w:val="28"/>
          <w:lang w:eastAsia="en-SG"/>
        </w:rPr>
        <w:t xml:space="preserve"> under the Steering Committee on Economic and Technical Cooperation </w:t>
      </w:r>
      <w:r w:rsidR="00BB7042" w:rsidRPr="785B6C82">
        <w:rPr>
          <w:rFonts w:ascii="Verdana" w:eastAsia="Times New Roman" w:hAnsi="Verdana" w:cs="Tahoma"/>
          <w:color w:val="000000" w:themeColor="text1"/>
          <w:sz w:val="28"/>
          <w:szCs w:val="28"/>
          <w:lang w:eastAsia="en-SG"/>
        </w:rPr>
        <w:t>(SCE)</w:t>
      </w:r>
      <w:r w:rsidRPr="785B6C82">
        <w:rPr>
          <w:rFonts w:ascii="Verdana" w:eastAsia="Times New Roman" w:hAnsi="Verdana" w:cs="Tahoma"/>
          <w:color w:val="000000" w:themeColor="text1"/>
          <w:sz w:val="28"/>
          <w:szCs w:val="28"/>
          <w:lang w:eastAsia="en-SG"/>
        </w:rPr>
        <w:t xml:space="preserve">. </w:t>
      </w:r>
      <w:r w:rsidR="0064631C" w:rsidRPr="785B6C82">
        <w:rPr>
          <w:rFonts w:ascii="Verdana" w:hAnsi="Verdana" w:cstheme="majorBidi"/>
          <w:sz w:val="28"/>
          <w:szCs w:val="28"/>
          <w:lang w:val="en-NZ"/>
        </w:rPr>
        <w:t xml:space="preserve">The TELWG is guided primarily by its Strategic Action Plans (SAP), which set out the high-level priorities and implementation activities for the next five years. </w:t>
      </w:r>
    </w:p>
    <w:p w14:paraId="20D85B22" w14:textId="77777777" w:rsidR="00AC19F7" w:rsidRDefault="00AC19F7" w:rsidP="006377F1">
      <w:pPr>
        <w:jc w:val="both"/>
        <w:rPr>
          <w:rFonts w:ascii="Verdana" w:hAnsi="Verdana" w:cstheme="majorHAnsi"/>
          <w:sz w:val="28"/>
          <w:szCs w:val="28"/>
          <w:lang w:val="en-NZ"/>
        </w:rPr>
      </w:pPr>
    </w:p>
    <w:p w14:paraId="17669A55" w14:textId="52381406" w:rsidR="00AC19F7" w:rsidRDefault="00AC19F7" w:rsidP="7FAD0351">
      <w:pPr>
        <w:pStyle w:val="paragraph"/>
        <w:spacing w:before="0" w:beforeAutospacing="0" w:after="0" w:afterAutospacing="0"/>
        <w:jc w:val="both"/>
        <w:textAlignment w:val="baseline"/>
        <w:rPr>
          <w:rFonts w:ascii="Segoe UI" w:hAnsi="Segoe UI" w:cs="Segoe UI"/>
          <w:color w:val="000000"/>
          <w:sz w:val="18"/>
          <w:szCs w:val="18"/>
        </w:rPr>
      </w:pPr>
      <w:proofErr w:type="gramStart"/>
      <w:r w:rsidRPr="785B6C82">
        <w:rPr>
          <w:rStyle w:val="normaltextrun"/>
          <w:rFonts w:ascii="Verdana" w:eastAsia="Calibri" w:hAnsi="Verdana" w:cs="Segoe UI"/>
          <w:sz w:val="28"/>
          <w:szCs w:val="28"/>
        </w:rPr>
        <w:t xml:space="preserve">Between 2010 </w:t>
      </w:r>
      <w:r w:rsidR="00BB7042" w:rsidRPr="785B6C82">
        <w:rPr>
          <w:rStyle w:val="normaltextrun"/>
          <w:rFonts w:ascii="Verdana" w:eastAsia="Calibri" w:hAnsi="Verdana" w:cs="Segoe UI"/>
          <w:sz w:val="28"/>
          <w:szCs w:val="28"/>
        </w:rPr>
        <w:t>to</w:t>
      </w:r>
      <w:r w:rsidRPr="785B6C82">
        <w:rPr>
          <w:rStyle w:val="normaltextrun"/>
          <w:rFonts w:ascii="Verdana" w:eastAsia="Calibri" w:hAnsi="Verdana" w:cs="Segoe UI"/>
          <w:sz w:val="28"/>
          <w:szCs w:val="28"/>
        </w:rPr>
        <w:t xml:space="preserve"> 2015,</w:t>
      </w:r>
      <w:proofErr w:type="gramEnd"/>
      <w:r w:rsidRPr="785B6C82">
        <w:rPr>
          <w:rStyle w:val="normaltextrun"/>
          <w:rFonts w:ascii="Verdana" w:eastAsia="Calibri" w:hAnsi="Verdana" w:cs="Segoe UI"/>
          <w:sz w:val="28"/>
          <w:szCs w:val="28"/>
        </w:rPr>
        <w:t xml:space="preserve"> the TELWG focused on enhancing telecommunications</w:t>
      </w:r>
      <w:r w:rsidR="52A4143C" w:rsidRPr="785B6C82">
        <w:rPr>
          <w:rStyle w:val="normaltextrun"/>
          <w:rFonts w:ascii="Verdana" w:eastAsia="Calibri" w:hAnsi="Verdana" w:cs="Segoe UI"/>
          <w:sz w:val="28"/>
          <w:szCs w:val="28"/>
        </w:rPr>
        <w:t>/</w:t>
      </w:r>
      <w:r w:rsidR="00192B17">
        <w:rPr>
          <w:rStyle w:val="normaltextrun"/>
          <w:rFonts w:ascii="Verdana" w:eastAsia="Calibri" w:hAnsi="Verdana" w:cs="Segoe UI"/>
          <w:sz w:val="28"/>
          <w:szCs w:val="28"/>
        </w:rPr>
        <w:t xml:space="preserve"> </w:t>
      </w:r>
      <w:r w:rsidR="52A4143C" w:rsidRPr="785B6C82">
        <w:rPr>
          <w:rStyle w:val="normaltextrun"/>
          <w:rFonts w:ascii="Verdana" w:eastAsia="Calibri" w:hAnsi="Verdana" w:cs="Segoe UI"/>
          <w:sz w:val="28"/>
          <w:szCs w:val="28"/>
        </w:rPr>
        <w:t>ICT</w:t>
      </w:r>
      <w:r w:rsidRPr="785B6C82">
        <w:rPr>
          <w:rStyle w:val="normaltextrun"/>
          <w:rFonts w:ascii="Verdana" w:eastAsia="Calibri" w:hAnsi="Verdana" w:cs="Segoe UI"/>
          <w:sz w:val="28"/>
          <w:szCs w:val="28"/>
        </w:rPr>
        <w:t xml:space="preserve"> connectivity as a necessary precursor to the development of a robust regional digital economy. With a range of connectivity initiatives underway across member economies, the focus of the TELWG </w:t>
      </w:r>
      <w:proofErr w:type="gramStart"/>
      <w:r w:rsidRPr="785B6C82">
        <w:rPr>
          <w:rStyle w:val="normaltextrun"/>
          <w:rFonts w:ascii="Verdana" w:eastAsia="Calibri" w:hAnsi="Verdana" w:cs="Segoe UI"/>
          <w:sz w:val="28"/>
          <w:szCs w:val="28"/>
        </w:rPr>
        <w:t>between 2016 to 2020</w:t>
      </w:r>
      <w:proofErr w:type="gramEnd"/>
      <w:r w:rsidRPr="785B6C82">
        <w:rPr>
          <w:rStyle w:val="normaltextrun"/>
          <w:rFonts w:ascii="Verdana" w:eastAsia="Calibri" w:hAnsi="Verdana" w:cs="Segoe UI"/>
          <w:sz w:val="28"/>
          <w:szCs w:val="28"/>
        </w:rPr>
        <w:t xml:space="preserve"> was to help </w:t>
      </w:r>
      <w:r w:rsidR="00DC7FA8">
        <w:rPr>
          <w:rStyle w:val="normaltextrun"/>
          <w:rFonts w:ascii="Verdana" w:eastAsia="Calibri" w:hAnsi="Verdana" w:cs="Segoe UI"/>
          <w:sz w:val="28"/>
          <w:szCs w:val="28"/>
        </w:rPr>
        <w:t>Economies</w:t>
      </w:r>
      <w:r w:rsidR="00623670">
        <w:rPr>
          <w:rStyle w:val="normaltextrun"/>
          <w:rFonts w:ascii="Verdana" w:eastAsia="Calibri" w:hAnsi="Verdana" w:cs="Segoe UI"/>
          <w:sz w:val="28"/>
          <w:szCs w:val="28"/>
        </w:rPr>
        <w:t xml:space="preserve"> </w:t>
      </w:r>
      <w:r w:rsidRPr="785B6C82">
        <w:rPr>
          <w:rStyle w:val="normaltextrun"/>
          <w:rFonts w:ascii="Verdana" w:eastAsia="Calibri" w:hAnsi="Verdana" w:cs="Segoe UI"/>
          <w:sz w:val="28"/>
          <w:szCs w:val="28"/>
        </w:rPr>
        <w:t>capture the substantial economic and social benefits associated with the use of ICTs, including the exponential and unprecedented growth of the digital economy.</w:t>
      </w:r>
    </w:p>
    <w:p w14:paraId="65F90DD2" w14:textId="5C725DEC" w:rsidR="00921AF6" w:rsidRDefault="00921AF6" w:rsidP="0064631C">
      <w:pPr>
        <w:jc w:val="both"/>
        <w:rPr>
          <w:rFonts w:ascii="Verdana" w:hAnsi="Verdana" w:cstheme="majorHAnsi"/>
          <w:sz w:val="28"/>
          <w:szCs w:val="28"/>
        </w:rPr>
      </w:pPr>
    </w:p>
    <w:p w14:paraId="57F456EC" w14:textId="5BB73E4A" w:rsidR="002420AB" w:rsidRPr="009F49B7" w:rsidRDefault="00921AF6" w:rsidP="7FAD0351">
      <w:pPr>
        <w:pStyle w:val="BodyA"/>
        <w:spacing w:after="0" w:line="240" w:lineRule="auto"/>
        <w:jc w:val="both"/>
        <w:rPr>
          <w:rFonts w:ascii="Verdana" w:eastAsiaTheme="minorEastAsia" w:hAnsi="Verdana" w:cstheme="majorBidi"/>
          <w:kern w:val="2"/>
          <w:sz w:val="28"/>
          <w:szCs w:val="28"/>
          <w:lang w:val="en-NZ" w:eastAsia="ja-JP"/>
        </w:rPr>
      </w:pPr>
      <w:r w:rsidRPr="785B6C82">
        <w:rPr>
          <w:rFonts w:ascii="Verdana" w:hAnsi="Verdana" w:cstheme="majorBidi"/>
          <w:sz w:val="28"/>
          <w:szCs w:val="28"/>
        </w:rPr>
        <w:t xml:space="preserve">This SAP 2021-2025 seeks to prioritize the TELWG undertakings in response to the rapid advancement </w:t>
      </w:r>
      <w:r w:rsidR="00451E83" w:rsidRPr="785B6C82">
        <w:rPr>
          <w:rFonts w:ascii="Verdana" w:hAnsi="Verdana" w:cstheme="majorBidi"/>
          <w:sz w:val="28"/>
          <w:szCs w:val="28"/>
        </w:rPr>
        <w:t xml:space="preserve">in </w:t>
      </w:r>
      <w:r w:rsidR="00192B17">
        <w:rPr>
          <w:rFonts w:ascii="Verdana" w:hAnsi="Verdana" w:cstheme="majorBidi"/>
          <w:sz w:val="28"/>
          <w:szCs w:val="28"/>
        </w:rPr>
        <w:t xml:space="preserve">telecommunications/ </w:t>
      </w:r>
      <w:r w:rsidR="00451E83" w:rsidRPr="785B6C82">
        <w:rPr>
          <w:rFonts w:ascii="Verdana" w:hAnsi="Verdana" w:cstheme="majorBidi"/>
          <w:sz w:val="28"/>
          <w:szCs w:val="28"/>
        </w:rPr>
        <w:t>ICTs</w:t>
      </w:r>
      <w:r w:rsidR="00A76338">
        <w:rPr>
          <w:rFonts w:ascii="Verdana" w:hAnsi="Verdana" w:cstheme="majorBidi"/>
          <w:sz w:val="28"/>
          <w:szCs w:val="28"/>
        </w:rPr>
        <w:t xml:space="preserve">, </w:t>
      </w:r>
      <w:r w:rsidR="00192B17">
        <w:rPr>
          <w:rFonts w:ascii="Verdana" w:hAnsi="Verdana" w:cstheme="majorBidi"/>
          <w:sz w:val="28"/>
          <w:szCs w:val="28"/>
        </w:rPr>
        <w:t>including as they relate to</w:t>
      </w:r>
      <w:r w:rsidR="004709D5">
        <w:rPr>
          <w:rFonts w:ascii="Verdana" w:hAnsi="Verdana" w:cstheme="majorBidi"/>
          <w:sz w:val="28"/>
          <w:szCs w:val="28"/>
        </w:rPr>
        <w:t xml:space="preserve"> emerging digital technologies</w:t>
      </w:r>
      <w:r w:rsidR="00192B17">
        <w:rPr>
          <w:rFonts w:ascii="Verdana" w:hAnsi="Verdana" w:cstheme="majorBidi"/>
          <w:sz w:val="28"/>
          <w:szCs w:val="28"/>
        </w:rPr>
        <w:t xml:space="preserve"> </w:t>
      </w:r>
      <w:r w:rsidRPr="785B6C82">
        <w:rPr>
          <w:rFonts w:ascii="Verdana" w:hAnsi="Verdana" w:cstheme="majorBidi"/>
          <w:sz w:val="28"/>
          <w:szCs w:val="28"/>
        </w:rPr>
        <w:t>in areas such as</w:t>
      </w:r>
      <w:r w:rsidR="002420AB" w:rsidRPr="785B6C82">
        <w:rPr>
          <w:rFonts w:ascii="Verdana" w:hAnsi="Verdana" w:cstheme="majorBidi"/>
          <w:sz w:val="28"/>
          <w:szCs w:val="28"/>
        </w:rPr>
        <w:t xml:space="preserve"> </w:t>
      </w:r>
      <w:r w:rsidRPr="785B6C82">
        <w:rPr>
          <w:rFonts w:ascii="Verdana" w:hAnsi="Verdana" w:cstheme="majorBidi"/>
          <w:sz w:val="28"/>
          <w:szCs w:val="28"/>
        </w:rPr>
        <w:t xml:space="preserve">artificial intelligence, 5G, big data, and the </w:t>
      </w:r>
      <w:r w:rsidR="00D954B3" w:rsidRPr="785B6C82">
        <w:rPr>
          <w:rFonts w:ascii="Verdana" w:hAnsi="Verdana" w:cstheme="majorBidi"/>
          <w:sz w:val="28"/>
          <w:szCs w:val="28"/>
        </w:rPr>
        <w:t xml:space="preserve">Internet </w:t>
      </w:r>
      <w:r w:rsidRPr="785B6C82">
        <w:rPr>
          <w:rFonts w:ascii="Verdana" w:hAnsi="Verdana" w:cstheme="majorBidi"/>
          <w:sz w:val="28"/>
          <w:szCs w:val="28"/>
        </w:rPr>
        <w:t xml:space="preserve">of </w:t>
      </w:r>
      <w:r w:rsidR="00D954B3" w:rsidRPr="785B6C82">
        <w:rPr>
          <w:rFonts w:ascii="Verdana" w:hAnsi="Verdana" w:cstheme="majorBidi"/>
          <w:sz w:val="28"/>
          <w:szCs w:val="28"/>
        </w:rPr>
        <w:t>Things (</w:t>
      </w:r>
      <w:proofErr w:type="spellStart"/>
      <w:r w:rsidR="00D954B3" w:rsidRPr="785B6C82">
        <w:rPr>
          <w:rFonts w:ascii="Verdana" w:hAnsi="Verdana" w:cstheme="majorBidi"/>
          <w:sz w:val="28"/>
          <w:szCs w:val="28"/>
        </w:rPr>
        <w:t>IoT</w:t>
      </w:r>
      <w:proofErr w:type="spellEnd"/>
      <w:r w:rsidR="00D954B3" w:rsidRPr="785B6C82">
        <w:rPr>
          <w:rFonts w:ascii="Verdana" w:hAnsi="Verdana" w:cstheme="majorBidi"/>
          <w:sz w:val="28"/>
          <w:szCs w:val="28"/>
        </w:rPr>
        <w:t>)</w:t>
      </w:r>
      <w:r w:rsidRPr="785B6C82">
        <w:rPr>
          <w:rFonts w:ascii="Verdana" w:hAnsi="Verdana" w:cstheme="majorBidi"/>
          <w:sz w:val="28"/>
          <w:szCs w:val="28"/>
        </w:rPr>
        <w:t xml:space="preserve">. </w:t>
      </w:r>
      <w:r w:rsidR="00192B17" w:rsidRPr="785B6C82">
        <w:rPr>
          <w:rFonts w:ascii="Verdana" w:hAnsi="Verdana" w:cstheme="majorBidi"/>
          <w:sz w:val="28"/>
          <w:szCs w:val="28"/>
        </w:rPr>
        <w:t xml:space="preserve">The COVID-19 pandemic has further underscored the need to provide internet access and connectivity to all people living in the APEC region, and to build their capacity to benefit from the </w:t>
      </w:r>
      <w:r w:rsidR="00192B17">
        <w:rPr>
          <w:rFonts w:ascii="Verdana" w:hAnsi="Verdana" w:cstheme="majorBidi"/>
          <w:sz w:val="28"/>
          <w:szCs w:val="28"/>
        </w:rPr>
        <w:t>Internet and digital economy</w:t>
      </w:r>
      <w:r w:rsidR="72A9F395" w:rsidRPr="785B6C82">
        <w:rPr>
          <w:rFonts w:ascii="Verdana" w:hAnsi="Verdana" w:cstheme="majorBidi"/>
          <w:sz w:val="28"/>
          <w:szCs w:val="28"/>
        </w:rPr>
        <w:t xml:space="preserve">.  </w:t>
      </w:r>
      <w:r w:rsidR="002420AB" w:rsidRPr="785B6C82">
        <w:rPr>
          <w:rFonts w:ascii="Verdana" w:hAnsi="Verdana" w:cstheme="majorBidi"/>
          <w:sz w:val="28"/>
          <w:szCs w:val="28"/>
          <w:lang w:val="en-NZ"/>
        </w:rPr>
        <w:t xml:space="preserve">The </w:t>
      </w:r>
      <w:r w:rsidR="00660959" w:rsidRPr="785B6C82">
        <w:rPr>
          <w:rFonts w:ascii="Verdana" w:hAnsi="Verdana" w:cstheme="majorBidi"/>
          <w:sz w:val="28"/>
          <w:szCs w:val="28"/>
          <w:lang w:val="en-NZ"/>
        </w:rPr>
        <w:t xml:space="preserve">SAP 2021-2025 </w:t>
      </w:r>
      <w:r w:rsidR="002420AB" w:rsidRPr="785B6C82">
        <w:rPr>
          <w:rFonts w:ascii="Verdana" w:hAnsi="Verdana" w:cstheme="majorBidi"/>
          <w:sz w:val="28"/>
          <w:szCs w:val="28"/>
          <w:lang w:val="en-NZ"/>
        </w:rPr>
        <w:t xml:space="preserve">guides the work of the TELWG in its endeavours to advance the development of the </w:t>
      </w:r>
      <w:r w:rsidR="4208B54A" w:rsidRPr="785B6C82">
        <w:rPr>
          <w:rFonts w:ascii="Verdana" w:hAnsi="Verdana" w:cstheme="majorBidi"/>
          <w:sz w:val="28"/>
          <w:szCs w:val="28"/>
          <w:lang w:val="en-NZ"/>
        </w:rPr>
        <w:t>telecommunication</w:t>
      </w:r>
      <w:r w:rsidR="032B799E" w:rsidRPr="785B6C82">
        <w:rPr>
          <w:rFonts w:ascii="Verdana" w:hAnsi="Verdana" w:cstheme="majorBidi"/>
          <w:sz w:val="28"/>
          <w:szCs w:val="28"/>
          <w:lang w:val="en-NZ"/>
        </w:rPr>
        <w:t>s</w:t>
      </w:r>
      <w:r w:rsidR="4208B54A" w:rsidRPr="785B6C82">
        <w:rPr>
          <w:rFonts w:ascii="Verdana" w:hAnsi="Verdana" w:cstheme="majorBidi"/>
          <w:sz w:val="28"/>
          <w:szCs w:val="28"/>
          <w:lang w:val="en-NZ"/>
        </w:rPr>
        <w:t>/</w:t>
      </w:r>
      <w:r w:rsidR="002420AB" w:rsidRPr="785B6C82">
        <w:rPr>
          <w:rFonts w:ascii="Verdana" w:hAnsi="Verdana" w:cstheme="majorBidi"/>
          <w:sz w:val="28"/>
          <w:szCs w:val="28"/>
          <w:lang w:val="en-NZ"/>
        </w:rPr>
        <w:t xml:space="preserve">ICT infrastructure and services in </w:t>
      </w:r>
      <w:r w:rsidR="00192B17">
        <w:rPr>
          <w:rFonts w:ascii="Verdana" w:hAnsi="Verdana" w:cstheme="majorBidi"/>
          <w:sz w:val="28"/>
          <w:szCs w:val="28"/>
          <w:lang w:val="en-NZ"/>
        </w:rPr>
        <w:t>the</w:t>
      </w:r>
      <w:r w:rsidR="002420AB" w:rsidRPr="785B6C82">
        <w:rPr>
          <w:rFonts w:ascii="Verdana" w:hAnsi="Verdana" w:cstheme="majorBidi"/>
          <w:sz w:val="28"/>
          <w:szCs w:val="28"/>
          <w:lang w:val="en-NZ"/>
        </w:rPr>
        <w:t xml:space="preserve"> region that is home to more than 2.8 billion people, makes up for over half of </w:t>
      </w:r>
      <w:r w:rsidR="00192B17">
        <w:rPr>
          <w:rFonts w:ascii="Verdana" w:hAnsi="Verdana" w:cstheme="majorBidi"/>
          <w:sz w:val="28"/>
          <w:szCs w:val="28"/>
          <w:lang w:val="en-NZ"/>
        </w:rPr>
        <w:t>both</w:t>
      </w:r>
      <w:r w:rsidR="00F11289">
        <w:rPr>
          <w:rFonts w:ascii="Verdana" w:hAnsi="Verdana" w:cstheme="majorBidi"/>
          <w:sz w:val="28"/>
          <w:szCs w:val="28"/>
          <w:lang w:val="en-NZ"/>
        </w:rPr>
        <w:t xml:space="preserve"> </w:t>
      </w:r>
      <w:r w:rsidR="002420AB" w:rsidRPr="785B6C82">
        <w:rPr>
          <w:rFonts w:ascii="Verdana" w:hAnsi="Verdana" w:cstheme="majorBidi"/>
          <w:sz w:val="28"/>
          <w:szCs w:val="28"/>
          <w:lang w:val="en-NZ"/>
        </w:rPr>
        <w:t>global GDP</w:t>
      </w:r>
      <w:r w:rsidR="00F11289">
        <w:rPr>
          <w:rFonts w:ascii="Verdana" w:hAnsi="Verdana" w:cstheme="majorBidi"/>
          <w:sz w:val="28"/>
          <w:szCs w:val="28"/>
          <w:lang w:val="en-NZ"/>
        </w:rPr>
        <w:t xml:space="preserve"> </w:t>
      </w:r>
      <w:r w:rsidR="00192B17">
        <w:rPr>
          <w:rFonts w:ascii="Verdana" w:hAnsi="Verdana" w:cstheme="majorBidi"/>
          <w:sz w:val="28"/>
          <w:szCs w:val="28"/>
          <w:lang w:val="en-NZ"/>
        </w:rPr>
        <w:t>and world trade</w:t>
      </w:r>
      <w:r w:rsidR="00FD33E9">
        <w:rPr>
          <w:rFonts w:ascii="Verdana" w:hAnsi="Verdana" w:cstheme="majorBidi"/>
          <w:sz w:val="28"/>
          <w:szCs w:val="28"/>
          <w:lang w:val="en-NZ"/>
        </w:rPr>
        <w:t xml:space="preserve">. </w:t>
      </w:r>
      <w:r w:rsidR="002420AB" w:rsidRPr="785B6C82">
        <w:rPr>
          <w:rFonts w:ascii="Verdana" w:hAnsi="Verdana" w:cstheme="majorBidi"/>
          <w:sz w:val="28"/>
          <w:szCs w:val="28"/>
          <w:lang w:val="en-NZ"/>
        </w:rPr>
        <w:t>In addressing the</w:t>
      </w:r>
      <w:r w:rsidR="00DB5E67" w:rsidRPr="785B6C82">
        <w:rPr>
          <w:rFonts w:ascii="Verdana" w:hAnsi="Verdana" w:cstheme="majorBidi"/>
          <w:sz w:val="28"/>
          <w:szCs w:val="28"/>
          <w:lang w:val="en-NZ"/>
        </w:rPr>
        <w:t xml:space="preserve"> </w:t>
      </w:r>
      <w:r w:rsidR="00D954B3" w:rsidRPr="785B6C82">
        <w:rPr>
          <w:rFonts w:ascii="Verdana" w:hAnsi="Verdana" w:cstheme="majorBidi"/>
          <w:sz w:val="28"/>
          <w:szCs w:val="28"/>
          <w:lang w:val="en-NZ"/>
        </w:rPr>
        <w:t>Priority Areas</w:t>
      </w:r>
      <w:r w:rsidR="002420AB" w:rsidRPr="785B6C82">
        <w:rPr>
          <w:rFonts w:ascii="Verdana" w:hAnsi="Verdana" w:cstheme="majorBidi"/>
          <w:sz w:val="28"/>
          <w:szCs w:val="28"/>
          <w:lang w:val="en-NZ"/>
        </w:rPr>
        <w:t xml:space="preserve">, the TELWG will demonstrate leadership in working with other APEC fora to support the development of </w:t>
      </w:r>
      <w:r w:rsidR="072421C4" w:rsidRPr="785B6C82">
        <w:rPr>
          <w:rFonts w:ascii="Verdana" w:hAnsi="Verdana" w:cstheme="majorBidi"/>
          <w:sz w:val="28"/>
          <w:szCs w:val="28"/>
          <w:lang w:val="en-NZ"/>
        </w:rPr>
        <w:t>telecommunication</w:t>
      </w:r>
      <w:r w:rsidR="46AC2413" w:rsidRPr="785B6C82">
        <w:rPr>
          <w:rFonts w:ascii="Verdana" w:hAnsi="Verdana" w:cstheme="majorBidi"/>
          <w:sz w:val="28"/>
          <w:szCs w:val="28"/>
          <w:lang w:val="en-NZ"/>
        </w:rPr>
        <w:t>s</w:t>
      </w:r>
      <w:r w:rsidR="072421C4" w:rsidRPr="785B6C82">
        <w:rPr>
          <w:rFonts w:ascii="Verdana" w:hAnsi="Verdana" w:cstheme="majorBidi"/>
          <w:sz w:val="28"/>
          <w:szCs w:val="28"/>
          <w:lang w:val="en-NZ"/>
        </w:rPr>
        <w:t>/</w:t>
      </w:r>
      <w:r w:rsidR="002420AB" w:rsidRPr="785B6C82">
        <w:rPr>
          <w:rFonts w:ascii="Verdana" w:hAnsi="Verdana" w:cstheme="majorBidi"/>
          <w:sz w:val="28"/>
          <w:szCs w:val="28"/>
          <w:lang w:val="en-NZ"/>
        </w:rPr>
        <w:t>ICT</w:t>
      </w:r>
      <w:r w:rsidR="00F11289">
        <w:rPr>
          <w:rFonts w:ascii="Verdana" w:hAnsi="Verdana" w:cstheme="majorBidi"/>
          <w:sz w:val="28"/>
          <w:szCs w:val="28"/>
          <w:lang w:val="en-NZ"/>
        </w:rPr>
        <w:t xml:space="preserve"> infrastructure and services across the region</w:t>
      </w:r>
      <w:r w:rsidR="002420AB" w:rsidRPr="785B6C82">
        <w:rPr>
          <w:rFonts w:ascii="Verdana" w:hAnsi="Verdana" w:cstheme="majorBidi"/>
          <w:sz w:val="28"/>
          <w:szCs w:val="28"/>
          <w:lang w:val="en-NZ"/>
        </w:rPr>
        <w:t xml:space="preserve">, assisting to secure the future economic prosperity, and global competitiveness for the Asia-Pacific region, and helping deliver </w:t>
      </w:r>
      <w:r w:rsidR="45DC5C40" w:rsidRPr="785B6C82">
        <w:rPr>
          <w:rFonts w:ascii="Verdana" w:hAnsi="Verdana" w:cstheme="majorBidi"/>
          <w:sz w:val="28"/>
          <w:szCs w:val="28"/>
          <w:lang w:val="en-NZ"/>
        </w:rPr>
        <w:t>telecommunication</w:t>
      </w:r>
      <w:r w:rsidR="56AA911C" w:rsidRPr="785B6C82">
        <w:rPr>
          <w:rFonts w:ascii="Verdana" w:hAnsi="Verdana" w:cstheme="majorBidi"/>
          <w:sz w:val="28"/>
          <w:szCs w:val="28"/>
          <w:lang w:val="en-NZ"/>
        </w:rPr>
        <w:t>s</w:t>
      </w:r>
      <w:r w:rsidR="45DC5C40" w:rsidRPr="785B6C82">
        <w:rPr>
          <w:rFonts w:ascii="Verdana" w:hAnsi="Verdana" w:cstheme="majorBidi"/>
          <w:sz w:val="28"/>
          <w:szCs w:val="28"/>
          <w:lang w:val="en-NZ"/>
        </w:rPr>
        <w:t>/</w:t>
      </w:r>
      <w:r w:rsidR="002420AB" w:rsidRPr="785B6C82">
        <w:rPr>
          <w:rFonts w:ascii="Verdana" w:hAnsi="Verdana" w:cstheme="majorBidi"/>
          <w:sz w:val="28"/>
          <w:szCs w:val="28"/>
          <w:lang w:val="en-NZ"/>
        </w:rPr>
        <w:t>ICT</w:t>
      </w:r>
      <w:r w:rsidR="00FD33E9">
        <w:rPr>
          <w:rFonts w:ascii="Verdana" w:hAnsi="Verdana" w:cstheme="majorBidi"/>
          <w:sz w:val="28"/>
          <w:szCs w:val="28"/>
          <w:lang w:val="en-NZ"/>
        </w:rPr>
        <w:t>.</w:t>
      </w:r>
    </w:p>
    <w:p w14:paraId="4B460F30" w14:textId="19FACBC2" w:rsidR="00921AF6" w:rsidRPr="00DB5E67" w:rsidRDefault="00921AF6" w:rsidP="0064631C">
      <w:pPr>
        <w:jc w:val="both"/>
        <w:rPr>
          <w:rFonts w:ascii="Verdana" w:hAnsi="Verdana" w:cstheme="majorHAnsi"/>
          <w:sz w:val="28"/>
          <w:szCs w:val="28"/>
          <w:lang w:val="en-NZ"/>
        </w:rPr>
      </w:pPr>
    </w:p>
    <w:p w14:paraId="6D87C633" w14:textId="4EE98322" w:rsidR="00756C1A" w:rsidRPr="009F49B7" w:rsidRDefault="00756C1A" w:rsidP="009E68D0">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Verdana" w:eastAsiaTheme="minorEastAsia" w:hAnsi="Verdana" w:cstheme="majorHAnsi"/>
          <w:kern w:val="2"/>
          <w:sz w:val="28"/>
          <w:szCs w:val="28"/>
          <w:highlight w:val="yellow"/>
          <w:lang w:val="en-NZ" w:eastAsia="ja-JP"/>
        </w:rPr>
      </w:pPr>
    </w:p>
    <w:p w14:paraId="13DCA97F" w14:textId="53078578" w:rsidR="009E68D0" w:rsidRPr="009F49B7" w:rsidRDefault="00192B17" w:rsidP="009E68D0">
      <w:pPr>
        <w:pStyle w:val="BodyA"/>
        <w:spacing w:after="0" w:line="240" w:lineRule="auto"/>
        <w:ind w:left="540" w:hanging="540"/>
        <w:jc w:val="both"/>
        <w:rPr>
          <w:rFonts w:ascii="Verdana" w:hAnsi="Verdana"/>
          <w:b/>
          <w:bCs/>
          <w:sz w:val="28"/>
          <w:szCs w:val="28"/>
          <w:lang w:val="en-US"/>
        </w:rPr>
      </w:pPr>
      <w:r>
        <w:rPr>
          <w:rFonts w:ascii="Verdana" w:hAnsi="Verdana"/>
          <w:b/>
          <w:bCs/>
          <w:sz w:val="28"/>
          <w:szCs w:val="28"/>
          <w:lang w:val="en-US"/>
        </w:rPr>
        <w:t>2</w:t>
      </w:r>
      <w:r>
        <w:rPr>
          <w:rFonts w:ascii="Verdana" w:hAnsi="Verdana"/>
          <w:b/>
          <w:bCs/>
          <w:sz w:val="28"/>
          <w:szCs w:val="28"/>
          <w:lang w:val="en-US"/>
        </w:rPr>
        <w:tab/>
      </w:r>
      <w:r w:rsidR="009E68D0" w:rsidRPr="009F49B7">
        <w:rPr>
          <w:rFonts w:ascii="Verdana" w:hAnsi="Verdana"/>
          <w:b/>
          <w:bCs/>
          <w:sz w:val="28"/>
          <w:szCs w:val="28"/>
          <w:lang w:val="en-US"/>
        </w:rPr>
        <w:t xml:space="preserve">Priority Areas </w:t>
      </w:r>
    </w:p>
    <w:p w14:paraId="135F24D0" w14:textId="77777777" w:rsidR="009E68D0" w:rsidRPr="009F49B7" w:rsidRDefault="009E68D0" w:rsidP="009E68D0">
      <w:pPr>
        <w:pStyle w:val="BodyA"/>
        <w:spacing w:after="0" w:line="240" w:lineRule="auto"/>
        <w:jc w:val="both"/>
        <w:rPr>
          <w:rFonts w:ascii="Verdana" w:hAnsi="Verdana"/>
          <w:strike/>
          <w:sz w:val="28"/>
          <w:szCs w:val="28"/>
          <w:lang w:val="en-US"/>
        </w:rPr>
      </w:pPr>
    </w:p>
    <w:p w14:paraId="4413F177" w14:textId="72CDF40A" w:rsidR="009E68D0" w:rsidRPr="009F49B7" w:rsidRDefault="009E68D0" w:rsidP="009E68D0">
      <w:pPr>
        <w:pStyle w:val="BodyA"/>
        <w:spacing w:after="0" w:line="240" w:lineRule="auto"/>
        <w:jc w:val="both"/>
        <w:rPr>
          <w:rFonts w:ascii="Verdana" w:hAnsi="Verdana"/>
          <w:color w:val="auto"/>
          <w:sz w:val="28"/>
          <w:szCs w:val="28"/>
        </w:rPr>
      </w:pPr>
      <w:r w:rsidRPr="785B6C82">
        <w:rPr>
          <w:rFonts w:ascii="Verdana" w:hAnsi="Verdana"/>
          <w:color w:val="auto"/>
          <w:sz w:val="28"/>
          <w:szCs w:val="28"/>
        </w:rPr>
        <w:t xml:space="preserve">The </w:t>
      </w:r>
      <w:r w:rsidR="00202844" w:rsidRPr="785B6C82">
        <w:rPr>
          <w:rFonts w:ascii="Verdana" w:hAnsi="Verdana" w:cstheme="majorBidi"/>
          <w:sz w:val="28"/>
          <w:szCs w:val="28"/>
          <w:lang w:val="en-NZ"/>
        </w:rPr>
        <w:t xml:space="preserve">SAP 2021-2025 </w:t>
      </w:r>
      <w:r w:rsidRPr="785B6C82">
        <w:rPr>
          <w:rFonts w:ascii="Verdana" w:hAnsi="Verdana"/>
          <w:color w:val="auto"/>
          <w:sz w:val="28"/>
          <w:szCs w:val="28"/>
        </w:rPr>
        <w:t>sets out the TELWG’s priorities for the next five years and outlines how the TELWG will continue to play the leading role as the specialized forum in APEC on all telecommunications</w:t>
      </w:r>
      <w:r w:rsidR="0051797A">
        <w:rPr>
          <w:rFonts w:ascii="Verdana" w:hAnsi="Verdana"/>
          <w:color w:val="auto"/>
          <w:sz w:val="28"/>
          <w:szCs w:val="28"/>
        </w:rPr>
        <w:t>/ ICT</w:t>
      </w:r>
      <w:r w:rsidRPr="785B6C82">
        <w:rPr>
          <w:rFonts w:ascii="Verdana" w:hAnsi="Verdana"/>
          <w:color w:val="auto"/>
          <w:sz w:val="28"/>
          <w:szCs w:val="28"/>
        </w:rPr>
        <w:t xml:space="preserve"> matters, including contributing substantially to the digital economy through the implementation of the APEC Internet and Digital Economy Roadmap</w:t>
      </w:r>
      <w:r w:rsidR="0051797A">
        <w:rPr>
          <w:rFonts w:ascii="Verdana" w:hAnsi="Verdana"/>
          <w:color w:val="auto"/>
          <w:sz w:val="28"/>
          <w:szCs w:val="28"/>
        </w:rPr>
        <w:t xml:space="preserve"> (AIDER)</w:t>
      </w:r>
      <w:r w:rsidRPr="785B6C82">
        <w:rPr>
          <w:rFonts w:ascii="Verdana" w:hAnsi="Verdana"/>
          <w:color w:val="auto"/>
          <w:sz w:val="28"/>
          <w:szCs w:val="28"/>
        </w:rPr>
        <w:t>.</w:t>
      </w:r>
    </w:p>
    <w:p w14:paraId="4C233B05" w14:textId="77777777" w:rsidR="009E68D0" w:rsidRPr="009F49B7" w:rsidRDefault="009E68D0" w:rsidP="009E68D0">
      <w:pPr>
        <w:pStyle w:val="BodyA"/>
        <w:spacing w:after="0" w:line="240" w:lineRule="auto"/>
        <w:jc w:val="both"/>
        <w:rPr>
          <w:rFonts w:ascii="Verdana" w:hAnsi="Verdana"/>
          <w:color w:val="auto"/>
          <w:sz w:val="28"/>
          <w:szCs w:val="28"/>
        </w:rPr>
      </w:pPr>
    </w:p>
    <w:p w14:paraId="7E9C1205" w14:textId="12473324" w:rsidR="009E68D0" w:rsidRPr="009F49B7" w:rsidRDefault="009E68D0" w:rsidP="009E68D0">
      <w:pPr>
        <w:pStyle w:val="BodyA"/>
        <w:spacing w:after="0" w:line="240" w:lineRule="auto"/>
        <w:jc w:val="both"/>
        <w:rPr>
          <w:rFonts w:ascii="Verdana" w:hAnsi="Verdana"/>
          <w:color w:val="auto"/>
          <w:sz w:val="28"/>
          <w:szCs w:val="28"/>
        </w:rPr>
      </w:pPr>
      <w:r w:rsidRPr="009F49B7">
        <w:rPr>
          <w:rFonts w:ascii="Verdana" w:hAnsi="Verdana"/>
          <w:color w:val="auto"/>
          <w:sz w:val="28"/>
          <w:szCs w:val="28"/>
        </w:rPr>
        <w:t xml:space="preserve">The </w:t>
      </w:r>
      <w:r w:rsidR="00202844" w:rsidRPr="785B6C82">
        <w:rPr>
          <w:rFonts w:ascii="Verdana" w:hAnsi="Verdana" w:cstheme="majorBidi"/>
          <w:sz w:val="28"/>
          <w:szCs w:val="28"/>
          <w:lang w:val="en-NZ"/>
        </w:rPr>
        <w:t xml:space="preserve">SAP 2021-2025 </w:t>
      </w:r>
      <w:r w:rsidRPr="009F49B7">
        <w:rPr>
          <w:rFonts w:ascii="Verdana" w:hAnsi="Verdana"/>
          <w:color w:val="auto"/>
          <w:sz w:val="28"/>
          <w:szCs w:val="28"/>
        </w:rPr>
        <w:t>addresses this through four Priority Areas</w:t>
      </w:r>
      <w:r w:rsidR="00A87AFF">
        <w:rPr>
          <w:rFonts w:ascii="Verdana" w:hAnsi="Verdana"/>
          <w:color w:val="auto"/>
          <w:sz w:val="28"/>
          <w:szCs w:val="28"/>
        </w:rPr>
        <w:t>:</w:t>
      </w:r>
    </w:p>
    <w:p w14:paraId="32013A00" w14:textId="77777777" w:rsidR="00622B6B" w:rsidRPr="009F49B7" w:rsidRDefault="00622B6B" w:rsidP="009E68D0">
      <w:pPr>
        <w:pStyle w:val="BodyA"/>
        <w:spacing w:after="0" w:line="240" w:lineRule="auto"/>
        <w:jc w:val="both"/>
        <w:rPr>
          <w:rFonts w:ascii="Verdana" w:hAnsi="Verdana"/>
          <w:strike/>
          <w:sz w:val="28"/>
          <w:szCs w:val="28"/>
          <w:lang w:val="en-US"/>
        </w:rPr>
      </w:pPr>
    </w:p>
    <w:p w14:paraId="06751531" w14:textId="2973BF88" w:rsidR="009E68D0" w:rsidRPr="00622B6B" w:rsidRDefault="005D2506" w:rsidP="00622B6B">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b/>
          <w:bCs/>
          <w:sz w:val="28"/>
          <w:szCs w:val="28"/>
        </w:rPr>
      </w:pPr>
      <w:r>
        <w:rPr>
          <w:rFonts w:ascii="Verdana" w:hAnsi="Verdana"/>
          <w:b/>
          <w:bCs/>
          <w:sz w:val="28"/>
          <w:szCs w:val="28"/>
        </w:rPr>
        <w:t>2.1</w:t>
      </w:r>
      <w:r>
        <w:rPr>
          <w:rFonts w:ascii="Verdana" w:hAnsi="Verdana"/>
          <w:b/>
          <w:bCs/>
          <w:sz w:val="28"/>
          <w:szCs w:val="28"/>
        </w:rPr>
        <w:tab/>
      </w:r>
      <w:r w:rsidR="5031F678" w:rsidRPr="00622B6B">
        <w:rPr>
          <w:rFonts w:ascii="Verdana" w:hAnsi="Verdana"/>
          <w:b/>
          <w:bCs/>
          <w:sz w:val="28"/>
          <w:szCs w:val="28"/>
        </w:rPr>
        <w:t>Telecommunication</w:t>
      </w:r>
      <w:r w:rsidR="009E68D0" w:rsidRPr="00622B6B">
        <w:rPr>
          <w:rFonts w:ascii="Verdana" w:hAnsi="Verdana"/>
          <w:b/>
          <w:bCs/>
          <w:sz w:val="28"/>
          <w:szCs w:val="28"/>
        </w:rPr>
        <w:t>/ ICT Infrastructure and Connectivity</w:t>
      </w:r>
    </w:p>
    <w:p w14:paraId="14F22C8E" w14:textId="4FC53748" w:rsidR="00B30CAB" w:rsidRDefault="009E68D0" w:rsidP="00B30CAB">
      <w:pPr>
        <w:pStyle w:val="BodyA"/>
        <w:widowControl w:val="0"/>
        <w:spacing w:after="0" w:line="240" w:lineRule="auto"/>
        <w:ind w:left="720"/>
        <w:jc w:val="both"/>
        <w:rPr>
          <w:rFonts w:ascii="Verdana" w:hAnsi="Verdana"/>
          <w:sz w:val="28"/>
          <w:szCs w:val="28"/>
          <w:lang w:val="en-US"/>
        </w:rPr>
      </w:pPr>
      <w:r w:rsidRPr="785B6C82">
        <w:rPr>
          <w:rFonts w:ascii="Verdana" w:hAnsi="Verdana"/>
          <w:sz w:val="28"/>
          <w:szCs w:val="28"/>
          <w:lang w:val="en-US"/>
        </w:rPr>
        <w:t xml:space="preserve">The TELWG will continue to promote an enabling environment that supports continuous investments in widespread and up-to-date </w:t>
      </w:r>
      <w:r w:rsidR="00DC7FA8">
        <w:rPr>
          <w:rFonts w:ascii="Verdana" w:hAnsi="Verdana"/>
          <w:sz w:val="28"/>
          <w:szCs w:val="28"/>
          <w:lang w:val="en-US"/>
        </w:rPr>
        <w:t>telecommunication</w:t>
      </w:r>
      <w:r w:rsidR="00690528" w:rsidRPr="785B6C82">
        <w:rPr>
          <w:rFonts w:ascii="Verdana" w:hAnsi="Verdana"/>
          <w:sz w:val="28"/>
          <w:szCs w:val="28"/>
          <w:lang w:val="en-US"/>
        </w:rPr>
        <w:t xml:space="preserve">/ ICT </w:t>
      </w:r>
      <w:r w:rsidRPr="785B6C82">
        <w:rPr>
          <w:rFonts w:ascii="Verdana" w:hAnsi="Verdana"/>
          <w:sz w:val="28"/>
          <w:szCs w:val="28"/>
          <w:lang w:val="en-US"/>
        </w:rPr>
        <w:t>infrastructure</w:t>
      </w:r>
      <w:r w:rsidR="00CA795A" w:rsidRPr="785B6C82">
        <w:rPr>
          <w:rFonts w:ascii="Verdana" w:hAnsi="Verdana"/>
          <w:sz w:val="28"/>
          <w:szCs w:val="28"/>
          <w:lang w:val="en-US"/>
        </w:rPr>
        <w:t xml:space="preserve">. </w:t>
      </w:r>
      <w:r w:rsidR="00B30CAB" w:rsidRPr="785B6C82">
        <w:rPr>
          <w:rFonts w:ascii="Verdana" w:hAnsi="Verdana"/>
          <w:sz w:val="28"/>
          <w:szCs w:val="28"/>
          <w:lang w:val="en-US"/>
        </w:rPr>
        <w:t>Internet access has become indispensable to providing opportunities to people to improve their well-being, and driving productivity and innovation across the economy, bringing significant economic rewards and forming the underpinning foundation of digitalization.</w:t>
      </w:r>
    </w:p>
    <w:p w14:paraId="54BAB019" w14:textId="6F1FB6F0" w:rsidR="009E68D0" w:rsidRPr="009F49B7" w:rsidRDefault="009E68D0" w:rsidP="009E68D0">
      <w:pPr>
        <w:pStyle w:val="BodyA"/>
        <w:widowControl w:val="0"/>
        <w:spacing w:after="0" w:line="240" w:lineRule="auto"/>
        <w:ind w:left="720"/>
        <w:jc w:val="both"/>
        <w:rPr>
          <w:rFonts w:ascii="Verdana" w:hAnsi="Verdana"/>
          <w:sz w:val="28"/>
          <w:szCs w:val="28"/>
          <w:lang w:val="en-US"/>
        </w:rPr>
      </w:pPr>
    </w:p>
    <w:p w14:paraId="627A5C2C" w14:textId="093F5EE0" w:rsidR="00E9364F" w:rsidRPr="009F49B7" w:rsidRDefault="009E68D0" w:rsidP="00E9364F">
      <w:pPr>
        <w:pStyle w:val="BodyA"/>
        <w:widowControl w:val="0"/>
        <w:spacing w:after="0" w:line="240" w:lineRule="auto"/>
        <w:ind w:left="720"/>
        <w:jc w:val="both"/>
        <w:rPr>
          <w:rFonts w:ascii="Verdana" w:hAnsi="Verdana"/>
          <w:sz w:val="28"/>
          <w:szCs w:val="28"/>
          <w:lang w:val="en-US"/>
        </w:rPr>
      </w:pPr>
      <w:r w:rsidRPr="785B6C82">
        <w:rPr>
          <w:rFonts w:ascii="Verdana" w:hAnsi="Verdana"/>
          <w:sz w:val="28"/>
          <w:szCs w:val="28"/>
          <w:lang w:val="en-US"/>
        </w:rPr>
        <w:t xml:space="preserve">The continuing trend of increasing data usage by governments, businesses and individuals alike make it incumbent upon economies to continuously upgrade the </w:t>
      </w:r>
      <w:r w:rsidR="00DC7FA8">
        <w:rPr>
          <w:rFonts w:ascii="Verdana" w:hAnsi="Verdana"/>
          <w:sz w:val="28"/>
          <w:szCs w:val="28"/>
          <w:lang w:val="en-US"/>
        </w:rPr>
        <w:t>telecommunication</w:t>
      </w:r>
      <w:r w:rsidRPr="785B6C82">
        <w:rPr>
          <w:rFonts w:ascii="Verdana" w:hAnsi="Verdana"/>
          <w:sz w:val="28"/>
          <w:szCs w:val="28"/>
          <w:lang w:val="en-US"/>
        </w:rPr>
        <w:t>/ ICT infrastructure across APEC</w:t>
      </w:r>
      <w:r w:rsidR="006D3AF1" w:rsidRPr="785B6C82">
        <w:rPr>
          <w:rFonts w:ascii="Verdana" w:hAnsi="Verdana"/>
          <w:sz w:val="28"/>
          <w:szCs w:val="28"/>
          <w:lang w:val="en-US"/>
        </w:rPr>
        <w:t xml:space="preserve"> in a manner that benefits all segments of society</w:t>
      </w:r>
      <w:r w:rsidR="00E9364F" w:rsidRPr="785B6C82">
        <w:rPr>
          <w:rFonts w:ascii="Verdana" w:hAnsi="Verdana"/>
          <w:sz w:val="28"/>
          <w:szCs w:val="28"/>
          <w:lang w:val="en-US"/>
        </w:rPr>
        <w:t>,</w:t>
      </w:r>
      <w:r w:rsidR="000F5A15" w:rsidRPr="785B6C82">
        <w:rPr>
          <w:rFonts w:ascii="Verdana" w:hAnsi="Verdana"/>
          <w:sz w:val="28"/>
          <w:szCs w:val="28"/>
          <w:lang w:val="en-US"/>
        </w:rPr>
        <w:t xml:space="preserve"> </w:t>
      </w:r>
      <w:r w:rsidR="00E9364F" w:rsidRPr="785B6C82">
        <w:rPr>
          <w:rFonts w:ascii="Verdana" w:hAnsi="Verdana"/>
          <w:sz w:val="28"/>
          <w:szCs w:val="28"/>
          <w:lang w:val="en-US"/>
        </w:rPr>
        <w:t>and to promote awareness in the use of green and energy efficient ICT.</w:t>
      </w:r>
    </w:p>
    <w:p w14:paraId="1196540C" w14:textId="201CC51B" w:rsidR="009E68D0" w:rsidRPr="009F49B7" w:rsidRDefault="009E68D0" w:rsidP="009E68D0">
      <w:pPr>
        <w:pStyle w:val="BodyA"/>
        <w:widowControl w:val="0"/>
        <w:spacing w:after="0" w:line="240" w:lineRule="auto"/>
        <w:ind w:left="720"/>
        <w:jc w:val="both"/>
        <w:rPr>
          <w:rFonts w:ascii="Verdana" w:hAnsi="Verdana"/>
          <w:sz w:val="28"/>
          <w:szCs w:val="28"/>
          <w:lang w:val="en-US"/>
        </w:rPr>
      </w:pPr>
    </w:p>
    <w:p w14:paraId="0E766D7C" w14:textId="582F31E5" w:rsidR="009E68D0" w:rsidRPr="009F49B7" w:rsidRDefault="00690528" w:rsidP="009E68D0">
      <w:pPr>
        <w:pStyle w:val="BodyA"/>
        <w:widowControl w:val="0"/>
        <w:spacing w:after="0" w:line="240" w:lineRule="auto"/>
        <w:ind w:left="720"/>
        <w:jc w:val="both"/>
        <w:rPr>
          <w:rFonts w:ascii="Verdana" w:hAnsi="Verdana"/>
          <w:sz w:val="28"/>
          <w:szCs w:val="28"/>
          <w:lang w:val="en-US"/>
        </w:rPr>
      </w:pPr>
      <w:r w:rsidRPr="785B6C82">
        <w:rPr>
          <w:rFonts w:ascii="Verdana" w:hAnsi="Verdana"/>
          <w:sz w:val="28"/>
          <w:szCs w:val="28"/>
          <w:lang w:val="en-US"/>
        </w:rPr>
        <w:t xml:space="preserve">The </w:t>
      </w:r>
      <w:r w:rsidR="00DC7FA8">
        <w:rPr>
          <w:rFonts w:ascii="Verdana" w:hAnsi="Verdana"/>
          <w:sz w:val="28"/>
          <w:szCs w:val="28"/>
          <w:lang w:val="en-US"/>
        </w:rPr>
        <w:t>telecommunication</w:t>
      </w:r>
      <w:r w:rsidR="009E68D0" w:rsidRPr="785B6C82">
        <w:rPr>
          <w:rFonts w:ascii="Verdana" w:hAnsi="Verdana"/>
          <w:sz w:val="28"/>
          <w:szCs w:val="28"/>
          <w:lang w:val="en-US"/>
        </w:rPr>
        <w:t>/ ICT infrastructure in the APEC region must be able to support the increase in Internet traffic, provide coverage with sufficient capacity</w:t>
      </w:r>
      <w:r w:rsidR="004D48B4">
        <w:rPr>
          <w:rFonts w:ascii="Verdana" w:hAnsi="Verdana"/>
          <w:sz w:val="28"/>
          <w:szCs w:val="28"/>
          <w:lang w:val="en-US"/>
        </w:rPr>
        <w:t xml:space="preserve"> and quality</w:t>
      </w:r>
      <w:r w:rsidR="009E68D0" w:rsidRPr="785B6C82">
        <w:rPr>
          <w:rFonts w:ascii="Verdana" w:hAnsi="Verdana"/>
          <w:sz w:val="28"/>
          <w:szCs w:val="28"/>
          <w:lang w:val="en-US"/>
        </w:rPr>
        <w:t xml:space="preserve"> to ensure that data can flow at the volume, speed and reliability required to meet the demands of the digital economy. This will play a critical role in ensuring that everyone, wherever they live</w:t>
      </w:r>
      <w:r w:rsidR="003C4B36">
        <w:rPr>
          <w:rFonts w:ascii="Verdana" w:hAnsi="Verdana"/>
          <w:sz w:val="28"/>
          <w:szCs w:val="28"/>
          <w:lang w:val="en-US"/>
        </w:rPr>
        <w:t>,</w:t>
      </w:r>
      <w:r w:rsidR="009E68D0" w:rsidRPr="785B6C82">
        <w:rPr>
          <w:rFonts w:ascii="Verdana" w:hAnsi="Verdana"/>
          <w:sz w:val="28"/>
          <w:szCs w:val="28"/>
          <w:lang w:val="en-US"/>
        </w:rPr>
        <w:t xml:space="preserve"> </w:t>
      </w:r>
      <w:r w:rsidR="0089003E" w:rsidRPr="0089003E">
        <w:rPr>
          <w:rFonts w:ascii="Verdana" w:hAnsi="Verdana"/>
          <w:sz w:val="28"/>
          <w:szCs w:val="28"/>
          <w:lang w:val="en-US"/>
        </w:rPr>
        <w:t xml:space="preserve">whenever they want, </w:t>
      </w:r>
      <w:r w:rsidR="009E68D0" w:rsidRPr="785B6C82">
        <w:rPr>
          <w:rFonts w:ascii="Verdana" w:hAnsi="Verdana"/>
          <w:sz w:val="28"/>
          <w:szCs w:val="28"/>
          <w:lang w:val="en-US"/>
        </w:rPr>
        <w:t xml:space="preserve">and however they connect, can make full use of digital services and benefit from participation in the digital economy. </w:t>
      </w:r>
    </w:p>
    <w:p w14:paraId="7052EAF6" w14:textId="77777777" w:rsidR="009E68D0" w:rsidRPr="009F49B7" w:rsidRDefault="009E68D0" w:rsidP="009E68D0">
      <w:pPr>
        <w:pStyle w:val="BodyA"/>
        <w:widowControl w:val="0"/>
        <w:spacing w:after="0" w:line="240" w:lineRule="auto"/>
        <w:ind w:left="1080"/>
        <w:jc w:val="both"/>
        <w:rPr>
          <w:rFonts w:ascii="Verdana" w:hAnsi="Verdana"/>
          <w:sz w:val="28"/>
          <w:szCs w:val="28"/>
          <w:lang w:val="en-US"/>
        </w:rPr>
      </w:pPr>
    </w:p>
    <w:p w14:paraId="380CD30F" w14:textId="77777777" w:rsidR="009E68D0" w:rsidRPr="009F49B7" w:rsidRDefault="009E68D0" w:rsidP="009E68D0">
      <w:pPr>
        <w:pStyle w:val="BodyA"/>
        <w:spacing w:after="0" w:line="240" w:lineRule="auto"/>
        <w:jc w:val="both"/>
        <w:rPr>
          <w:rFonts w:ascii="Verdana" w:hAnsi="Verdana"/>
          <w:b/>
          <w:sz w:val="28"/>
          <w:szCs w:val="28"/>
          <w:lang w:val="en-US"/>
        </w:rPr>
      </w:pPr>
    </w:p>
    <w:p w14:paraId="5F09AB4F" w14:textId="79BD1D12" w:rsidR="009E68D0" w:rsidRPr="00DC7FA8" w:rsidRDefault="00DC7FA8" w:rsidP="00DC7FA8">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b/>
          <w:sz w:val="28"/>
          <w:szCs w:val="28"/>
        </w:rPr>
      </w:pPr>
      <w:r>
        <w:rPr>
          <w:rFonts w:ascii="Verdana" w:hAnsi="Verdana"/>
          <w:b/>
          <w:sz w:val="28"/>
          <w:szCs w:val="28"/>
        </w:rPr>
        <w:t>2.2</w:t>
      </w:r>
      <w:r>
        <w:rPr>
          <w:rFonts w:ascii="Verdana" w:hAnsi="Verdana"/>
          <w:b/>
          <w:sz w:val="28"/>
          <w:szCs w:val="28"/>
        </w:rPr>
        <w:tab/>
      </w:r>
      <w:r w:rsidR="009E68D0" w:rsidRPr="00DC7FA8">
        <w:rPr>
          <w:rFonts w:ascii="Verdana" w:hAnsi="Verdana"/>
          <w:b/>
          <w:sz w:val="28"/>
          <w:szCs w:val="28"/>
        </w:rPr>
        <w:t>Trusted, Secure and Resilient ICT</w:t>
      </w:r>
    </w:p>
    <w:p w14:paraId="291E1446" w14:textId="72683C15" w:rsidR="009E68D0" w:rsidRPr="009F49B7" w:rsidRDefault="009E68D0" w:rsidP="009E68D0">
      <w:pPr>
        <w:pStyle w:val="BodyA"/>
        <w:widowControl w:val="0"/>
        <w:spacing w:after="0" w:line="240" w:lineRule="auto"/>
        <w:ind w:left="720"/>
        <w:jc w:val="both"/>
        <w:rPr>
          <w:rFonts w:ascii="Verdana" w:hAnsi="Verdana"/>
          <w:sz w:val="28"/>
          <w:szCs w:val="28"/>
          <w:lang w:val="en-US"/>
        </w:rPr>
      </w:pPr>
      <w:r w:rsidRPr="785B6C82">
        <w:rPr>
          <w:rFonts w:ascii="Verdana" w:hAnsi="Verdana"/>
          <w:sz w:val="28"/>
          <w:szCs w:val="28"/>
          <w:lang w:val="en-US"/>
        </w:rPr>
        <w:t>The TELWG will continue to work to enhance trust and confidence in the use of ICTs by promoting the importance of cyber security, collaboration and cooperation, as well as the dissemination of knowledge. These support the capacity of all relevant stakeholders in the APEC economies to manage risks, create resilient networks, and facilitate a trusted environment for transactions and communications.</w:t>
      </w:r>
    </w:p>
    <w:p w14:paraId="01FC81CC" w14:textId="77777777" w:rsidR="009E68D0" w:rsidRPr="009F49B7" w:rsidRDefault="009E68D0" w:rsidP="009E68D0">
      <w:pPr>
        <w:pStyle w:val="BodyA"/>
        <w:widowControl w:val="0"/>
        <w:spacing w:after="0" w:line="240" w:lineRule="auto"/>
        <w:ind w:left="720"/>
        <w:jc w:val="both"/>
        <w:rPr>
          <w:rFonts w:ascii="Verdana" w:hAnsi="Verdana"/>
          <w:sz w:val="28"/>
          <w:szCs w:val="28"/>
          <w:lang w:val="en-US"/>
        </w:rPr>
      </w:pPr>
    </w:p>
    <w:p w14:paraId="4F0C23B5" w14:textId="77777777" w:rsidR="009E68D0" w:rsidRPr="009F49B7" w:rsidRDefault="009E68D0" w:rsidP="009E68D0">
      <w:pPr>
        <w:pStyle w:val="BodyA"/>
        <w:spacing w:after="0" w:line="240" w:lineRule="auto"/>
        <w:ind w:left="720" w:hanging="720"/>
        <w:jc w:val="both"/>
        <w:rPr>
          <w:rFonts w:ascii="Verdana" w:hAnsi="Verdana"/>
          <w:b/>
          <w:sz w:val="28"/>
          <w:szCs w:val="28"/>
          <w:lang w:val="en-US"/>
        </w:rPr>
      </w:pPr>
    </w:p>
    <w:p w14:paraId="1FC2C43B" w14:textId="5F7BE834" w:rsidR="009E68D0" w:rsidRPr="00DC7FA8" w:rsidRDefault="00DC7FA8" w:rsidP="00DC7FA8">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Verdana" w:hAnsi="Verdana"/>
          <w:b/>
          <w:bCs/>
          <w:sz w:val="28"/>
          <w:szCs w:val="28"/>
          <w:lang w:val="en-NZ"/>
        </w:rPr>
      </w:pPr>
      <w:r>
        <w:rPr>
          <w:rFonts w:ascii="Verdana" w:hAnsi="Verdana"/>
          <w:b/>
          <w:bCs/>
          <w:sz w:val="28"/>
          <w:szCs w:val="28"/>
          <w:lang w:val="en-NZ"/>
        </w:rPr>
        <w:t>2.3</w:t>
      </w:r>
      <w:r>
        <w:rPr>
          <w:rFonts w:ascii="Verdana" w:hAnsi="Verdana"/>
          <w:b/>
          <w:bCs/>
          <w:sz w:val="28"/>
          <w:szCs w:val="28"/>
          <w:lang w:val="en-NZ"/>
        </w:rPr>
        <w:tab/>
      </w:r>
      <w:r w:rsidR="009E68D0" w:rsidRPr="00DC7FA8">
        <w:rPr>
          <w:rFonts w:ascii="Verdana" w:hAnsi="Verdana"/>
          <w:b/>
          <w:bCs/>
          <w:sz w:val="28"/>
          <w:szCs w:val="28"/>
          <w:lang w:val="en-NZ"/>
        </w:rPr>
        <w:t xml:space="preserve">ICT Policies and Regulations to Enable Innovation, </w:t>
      </w:r>
      <w:r w:rsidR="004A6BA9" w:rsidRPr="00DC7FA8">
        <w:rPr>
          <w:rFonts w:ascii="Verdana" w:hAnsi="Verdana"/>
          <w:b/>
          <w:bCs/>
          <w:sz w:val="28"/>
          <w:szCs w:val="28"/>
          <w:lang w:val="en-NZ"/>
        </w:rPr>
        <w:t xml:space="preserve">Economic </w:t>
      </w:r>
      <w:r w:rsidR="009E68D0" w:rsidRPr="00DC7FA8">
        <w:rPr>
          <w:rFonts w:ascii="Verdana" w:hAnsi="Verdana"/>
          <w:b/>
          <w:bCs/>
          <w:sz w:val="28"/>
          <w:szCs w:val="28"/>
          <w:lang w:val="en-NZ"/>
        </w:rPr>
        <w:t>Integration and Inclusiveness</w:t>
      </w:r>
    </w:p>
    <w:p w14:paraId="0A56B654" w14:textId="185F3B1C" w:rsidR="00E31A6A" w:rsidRDefault="00E31A6A" w:rsidP="7FAD0351">
      <w:pPr>
        <w:ind w:left="720"/>
        <w:jc w:val="both"/>
        <w:rPr>
          <w:rFonts w:eastAsiaTheme="minorEastAsia"/>
          <w:bdr w:val="none" w:sz="0" w:space="0" w:color="auto"/>
        </w:rPr>
      </w:pPr>
      <w:r w:rsidRPr="785B6C82">
        <w:rPr>
          <w:rFonts w:ascii="Verdana" w:hAnsi="Verdana"/>
          <w:sz w:val="28"/>
          <w:szCs w:val="28"/>
        </w:rPr>
        <w:t xml:space="preserve">The TELWG will promote regulatory and policy environments that encourage innovation and will consider how </w:t>
      </w:r>
      <w:r w:rsidR="766932DB" w:rsidRPr="785B6C82">
        <w:rPr>
          <w:rFonts w:ascii="Verdana" w:hAnsi="Verdana"/>
          <w:sz w:val="28"/>
          <w:szCs w:val="28"/>
        </w:rPr>
        <w:t>telecommunications/</w:t>
      </w:r>
      <w:r w:rsidRPr="785B6C82">
        <w:rPr>
          <w:rFonts w:ascii="Verdana" w:hAnsi="Verdana"/>
          <w:sz w:val="28"/>
          <w:szCs w:val="28"/>
        </w:rPr>
        <w:t xml:space="preserve">ICTs </w:t>
      </w:r>
      <w:r w:rsidR="00A14265" w:rsidRPr="785B6C82">
        <w:rPr>
          <w:rFonts w:ascii="Verdana" w:hAnsi="Verdana"/>
          <w:sz w:val="28"/>
          <w:szCs w:val="28"/>
        </w:rPr>
        <w:t>may further the endeavor</w:t>
      </w:r>
      <w:r w:rsidR="004709D5">
        <w:rPr>
          <w:rFonts w:ascii="Verdana" w:hAnsi="Verdana"/>
          <w:sz w:val="28"/>
          <w:szCs w:val="28"/>
        </w:rPr>
        <w:t xml:space="preserve"> and advance the development of emerging digital technologies</w:t>
      </w:r>
      <w:r w:rsidRPr="785B6C82">
        <w:rPr>
          <w:rFonts w:ascii="Verdana" w:hAnsi="Verdana"/>
          <w:sz w:val="28"/>
          <w:szCs w:val="28"/>
        </w:rPr>
        <w:t xml:space="preserve">.  It will strengthen cooperation on and mutual understanding of ICT policies to </w:t>
      </w:r>
      <w:r w:rsidR="00012337" w:rsidRPr="785B6C82">
        <w:rPr>
          <w:rFonts w:ascii="Verdana" w:hAnsi="Verdana"/>
          <w:sz w:val="28"/>
          <w:szCs w:val="28"/>
        </w:rPr>
        <w:t xml:space="preserve">advance balanced, inclusive, sustainable and innovative growth, accelerate regional economic integration, and </w:t>
      </w:r>
      <w:r w:rsidRPr="785B6C82">
        <w:rPr>
          <w:rFonts w:ascii="Verdana" w:hAnsi="Verdana"/>
          <w:sz w:val="28"/>
          <w:szCs w:val="28"/>
        </w:rPr>
        <w:t>facilitate cross border trade and investment.  It will also consider the potential of ICTs to advance development goals and promote opportunities for all segments of society</w:t>
      </w:r>
      <w:r w:rsidR="00012337" w:rsidRPr="785B6C82">
        <w:rPr>
          <w:rFonts w:ascii="Verdana" w:hAnsi="Verdana"/>
          <w:sz w:val="28"/>
          <w:szCs w:val="28"/>
        </w:rPr>
        <w:t>, in</w:t>
      </w:r>
      <w:r w:rsidRPr="785B6C82">
        <w:rPr>
          <w:rFonts w:ascii="Verdana" w:hAnsi="Verdana"/>
          <w:sz w:val="28"/>
          <w:szCs w:val="28"/>
        </w:rPr>
        <w:t xml:space="preserve"> alignment with APEC-wide efforts to ensure better inclusiveness.</w:t>
      </w:r>
    </w:p>
    <w:p w14:paraId="0EB33046" w14:textId="7152E5FB" w:rsidR="00E31A6A" w:rsidRPr="009F49B7" w:rsidRDefault="00E31A6A" w:rsidP="009E68D0">
      <w:pPr>
        <w:autoSpaceDE w:val="0"/>
        <w:autoSpaceDN w:val="0"/>
        <w:adjustRightInd w:val="0"/>
        <w:ind w:left="720"/>
        <w:jc w:val="both"/>
        <w:rPr>
          <w:rFonts w:ascii="Verdana" w:hAnsi="Verdana"/>
          <w:sz w:val="28"/>
          <w:szCs w:val="28"/>
        </w:rPr>
      </w:pPr>
    </w:p>
    <w:p w14:paraId="3F743BB8" w14:textId="77777777" w:rsidR="009E68D0" w:rsidRPr="009F49B7" w:rsidRDefault="009E68D0" w:rsidP="009E68D0">
      <w:pPr>
        <w:pStyle w:val="BodyA"/>
        <w:spacing w:after="0" w:line="240" w:lineRule="auto"/>
        <w:jc w:val="both"/>
        <w:rPr>
          <w:rFonts w:ascii="Verdana" w:hAnsi="Verdana"/>
          <w:b/>
          <w:bCs/>
          <w:sz w:val="28"/>
          <w:szCs w:val="28"/>
          <w:lang w:val="en-NZ"/>
        </w:rPr>
      </w:pPr>
    </w:p>
    <w:p w14:paraId="6923D17E" w14:textId="58E504B5" w:rsidR="009E68D0" w:rsidRPr="00DC7FA8" w:rsidRDefault="00DC7FA8" w:rsidP="00DC7FA8">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Verdana" w:hAnsi="Verdana" w:cstheme="majorBidi"/>
          <w:b/>
          <w:bCs/>
          <w:sz w:val="28"/>
          <w:szCs w:val="28"/>
          <w:lang w:val="en-NZ"/>
        </w:rPr>
      </w:pPr>
      <w:r>
        <w:rPr>
          <w:rFonts w:ascii="Verdana" w:hAnsi="Verdana" w:cstheme="majorBidi"/>
          <w:b/>
          <w:bCs/>
          <w:sz w:val="28"/>
          <w:szCs w:val="28"/>
          <w:lang w:val="en-NZ"/>
        </w:rPr>
        <w:t>2.4</w:t>
      </w:r>
      <w:r>
        <w:rPr>
          <w:rFonts w:ascii="Verdana" w:hAnsi="Verdana" w:cstheme="majorBidi"/>
          <w:b/>
          <w:bCs/>
          <w:sz w:val="28"/>
          <w:szCs w:val="28"/>
          <w:lang w:val="en-NZ"/>
        </w:rPr>
        <w:tab/>
      </w:r>
      <w:r w:rsidR="009E68D0" w:rsidRPr="00DC7FA8">
        <w:rPr>
          <w:rFonts w:ascii="Verdana" w:hAnsi="Verdana" w:cstheme="majorBidi"/>
          <w:b/>
          <w:bCs/>
          <w:sz w:val="28"/>
          <w:szCs w:val="28"/>
          <w:lang w:val="en-NZ"/>
        </w:rPr>
        <w:t xml:space="preserve">Collaboration in </w:t>
      </w:r>
      <w:r w:rsidR="00D47B9A">
        <w:rPr>
          <w:rFonts w:ascii="Verdana" w:hAnsi="Verdana" w:cstheme="majorBidi"/>
          <w:b/>
          <w:bCs/>
          <w:sz w:val="28"/>
          <w:szCs w:val="28"/>
          <w:lang w:val="en-NZ"/>
        </w:rPr>
        <w:t>Telecommunications</w:t>
      </w:r>
      <w:r w:rsidR="003707CF" w:rsidRPr="00DC7FA8">
        <w:rPr>
          <w:rFonts w:ascii="Verdana" w:hAnsi="Verdana" w:cstheme="majorBidi"/>
          <w:b/>
          <w:bCs/>
          <w:sz w:val="28"/>
          <w:szCs w:val="28"/>
          <w:lang w:val="en-NZ"/>
        </w:rPr>
        <w:t>/ICT</w:t>
      </w:r>
      <w:r w:rsidR="00C80206" w:rsidRPr="00DC7FA8">
        <w:rPr>
          <w:rFonts w:ascii="Verdana" w:hAnsi="Verdana" w:cstheme="majorBidi"/>
          <w:b/>
          <w:bCs/>
          <w:sz w:val="28"/>
          <w:szCs w:val="28"/>
          <w:lang w:val="en-NZ"/>
        </w:rPr>
        <w:t>s</w:t>
      </w:r>
      <w:r w:rsidR="00B473EC" w:rsidRPr="00DC7FA8">
        <w:rPr>
          <w:rFonts w:ascii="Verdana" w:hAnsi="Verdana" w:cstheme="majorBidi"/>
          <w:b/>
          <w:bCs/>
          <w:sz w:val="28"/>
          <w:szCs w:val="28"/>
          <w:lang w:val="en-NZ"/>
        </w:rPr>
        <w:t xml:space="preserve"> </w:t>
      </w:r>
      <w:r w:rsidR="009E68D0" w:rsidRPr="00DC7FA8">
        <w:rPr>
          <w:rFonts w:ascii="Verdana" w:hAnsi="Verdana" w:cstheme="majorBidi"/>
          <w:b/>
          <w:bCs/>
          <w:sz w:val="28"/>
          <w:szCs w:val="28"/>
          <w:lang w:val="en-NZ"/>
        </w:rPr>
        <w:t>and Applications</w:t>
      </w:r>
    </w:p>
    <w:p w14:paraId="3BF201BE" w14:textId="57FA86AF" w:rsidR="005C5DFE" w:rsidRDefault="009E68D0" w:rsidP="00104900">
      <w:pPr>
        <w:pStyle w:val="BodyA"/>
        <w:spacing w:after="0" w:line="240" w:lineRule="auto"/>
        <w:ind w:left="720"/>
        <w:jc w:val="both"/>
        <w:rPr>
          <w:rFonts w:ascii="Verdana" w:hAnsi="Verdana"/>
          <w:sz w:val="28"/>
          <w:szCs w:val="28"/>
          <w:lang w:val="en-US"/>
        </w:rPr>
      </w:pPr>
      <w:r w:rsidRPr="2CD0784F">
        <w:rPr>
          <w:rFonts w:ascii="Verdana" w:hAnsi="Verdana"/>
          <w:sz w:val="28"/>
          <w:szCs w:val="28"/>
          <w:lang w:val="en-US"/>
        </w:rPr>
        <w:t xml:space="preserve">The TELWG will engage with groups </w:t>
      </w:r>
      <w:r w:rsidR="006629F6" w:rsidRPr="2CD0784F">
        <w:rPr>
          <w:rFonts w:ascii="Verdana" w:hAnsi="Verdana"/>
          <w:sz w:val="28"/>
          <w:szCs w:val="28"/>
          <w:lang w:val="en-US"/>
        </w:rPr>
        <w:t xml:space="preserve">and other fora </w:t>
      </w:r>
      <w:r w:rsidRPr="2CD0784F">
        <w:rPr>
          <w:rFonts w:ascii="Verdana" w:hAnsi="Verdana"/>
          <w:sz w:val="28"/>
          <w:szCs w:val="28"/>
          <w:lang w:val="en-US"/>
        </w:rPr>
        <w:t xml:space="preserve">within APEC to consider how to take advantage of the benefits of </w:t>
      </w:r>
      <w:r w:rsidR="00D47B9A">
        <w:rPr>
          <w:rFonts w:ascii="Verdana" w:hAnsi="Verdana"/>
          <w:sz w:val="28"/>
          <w:szCs w:val="28"/>
          <w:lang w:val="en-US"/>
        </w:rPr>
        <w:t>telecommunications</w:t>
      </w:r>
      <w:r w:rsidR="0011458F" w:rsidRPr="2CD0784F">
        <w:rPr>
          <w:rFonts w:ascii="Verdana" w:hAnsi="Verdana"/>
          <w:sz w:val="28"/>
          <w:szCs w:val="28"/>
          <w:lang w:val="en-US"/>
        </w:rPr>
        <w:t>/ICT</w:t>
      </w:r>
      <w:r w:rsidR="00B97140">
        <w:rPr>
          <w:rFonts w:ascii="Verdana" w:hAnsi="Verdana"/>
          <w:sz w:val="28"/>
          <w:szCs w:val="28"/>
          <w:lang w:val="en-US"/>
        </w:rPr>
        <w:t xml:space="preserve"> </w:t>
      </w:r>
      <w:r w:rsidRPr="2CD0784F">
        <w:rPr>
          <w:rFonts w:ascii="Verdana" w:hAnsi="Verdana"/>
          <w:sz w:val="28"/>
          <w:szCs w:val="28"/>
          <w:lang w:val="en-US"/>
        </w:rPr>
        <w:t xml:space="preserve">and address issues arising from their application.  </w:t>
      </w:r>
      <w:r w:rsidR="005C5DFE" w:rsidRPr="2CD0784F">
        <w:rPr>
          <w:rFonts w:ascii="Verdana" w:hAnsi="Verdana"/>
          <w:sz w:val="28"/>
          <w:szCs w:val="28"/>
          <w:lang w:val="en-US"/>
        </w:rPr>
        <w:t xml:space="preserve">The TELWG will seek to hold one of its meetings each year back-to-back with the meeting of the Digital Economy Steering Group (DESG), and </w:t>
      </w:r>
      <w:r w:rsidR="00D47B9A">
        <w:rPr>
          <w:rFonts w:ascii="Verdana" w:hAnsi="Verdana"/>
          <w:sz w:val="28"/>
          <w:szCs w:val="28"/>
          <w:lang w:val="en-US"/>
        </w:rPr>
        <w:t xml:space="preserve">at the same time as this </w:t>
      </w:r>
      <w:r w:rsidR="005C5DFE" w:rsidRPr="2CD0784F">
        <w:rPr>
          <w:rFonts w:ascii="Verdana" w:hAnsi="Verdana"/>
          <w:sz w:val="28"/>
          <w:szCs w:val="28"/>
          <w:lang w:val="en-US"/>
        </w:rPr>
        <w:t>annual joint meeting</w:t>
      </w:r>
      <w:r w:rsidR="00552386" w:rsidRPr="00552386">
        <w:rPr>
          <w:rFonts w:ascii="Verdana" w:hAnsi="Verdana"/>
          <w:sz w:val="28"/>
          <w:szCs w:val="28"/>
          <w:lang w:val="en-US"/>
        </w:rPr>
        <w:t>,</w:t>
      </w:r>
      <w:r w:rsidR="00552386">
        <w:rPr>
          <w:rFonts w:ascii="Verdana" w:hAnsi="Verdana"/>
          <w:sz w:val="28"/>
          <w:szCs w:val="28"/>
          <w:vertAlign w:val="superscript"/>
          <w:lang w:val="en-US"/>
        </w:rPr>
        <w:t xml:space="preserve"> </w:t>
      </w:r>
      <w:r w:rsidR="00D47B9A">
        <w:rPr>
          <w:rFonts w:ascii="Verdana" w:hAnsi="Verdana"/>
          <w:sz w:val="28"/>
          <w:szCs w:val="28"/>
          <w:lang w:val="en-US"/>
        </w:rPr>
        <w:t xml:space="preserve">will hold </w:t>
      </w:r>
      <w:r w:rsidR="6FDF4C3C" w:rsidRPr="2CD0784F">
        <w:rPr>
          <w:rFonts w:ascii="Verdana" w:hAnsi="Verdana"/>
          <w:sz w:val="28"/>
          <w:szCs w:val="28"/>
          <w:lang w:val="en-US"/>
        </w:rPr>
        <w:t xml:space="preserve">a </w:t>
      </w:r>
      <w:r w:rsidR="00D47B9A">
        <w:rPr>
          <w:rFonts w:ascii="Verdana" w:hAnsi="Verdana"/>
          <w:sz w:val="28"/>
          <w:szCs w:val="28"/>
          <w:lang w:val="en-US"/>
        </w:rPr>
        <w:t>Public and Private Dialogue</w:t>
      </w:r>
      <w:r w:rsidR="005C5DFE" w:rsidRPr="2CD0784F">
        <w:rPr>
          <w:rFonts w:ascii="Verdana" w:hAnsi="Verdana"/>
          <w:sz w:val="28"/>
          <w:szCs w:val="28"/>
          <w:lang w:val="en-US"/>
        </w:rPr>
        <w:t>, involving other APEC fora and sub-fora, as appropriate</w:t>
      </w:r>
      <w:r w:rsidR="005C5DFE" w:rsidRPr="2CD0784F">
        <w:rPr>
          <w:sz w:val="28"/>
          <w:szCs w:val="28"/>
        </w:rPr>
        <w:t xml:space="preserve">. </w:t>
      </w:r>
      <w:r w:rsidR="005C5DFE" w:rsidRPr="2CD0784F">
        <w:rPr>
          <w:rFonts w:ascii="Verdana" w:hAnsi="Verdana"/>
          <w:sz w:val="28"/>
          <w:szCs w:val="28"/>
          <w:lang w:val="en-US"/>
        </w:rPr>
        <w:t>Chair of TELWG, through consultation with the DESG Chair and hosting economy, will facilitate this activity.</w:t>
      </w:r>
    </w:p>
    <w:p w14:paraId="57D2CC68" w14:textId="77777777" w:rsidR="005C5DFE" w:rsidRDefault="005C5DFE" w:rsidP="00104900">
      <w:pPr>
        <w:pStyle w:val="BodyA"/>
        <w:spacing w:after="0" w:line="240" w:lineRule="auto"/>
        <w:ind w:left="720"/>
        <w:jc w:val="both"/>
        <w:rPr>
          <w:rFonts w:ascii="Verdana" w:hAnsi="Verdana"/>
          <w:sz w:val="28"/>
          <w:szCs w:val="28"/>
          <w:lang w:val="en-US"/>
        </w:rPr>
      </w:pPr>
    </w:p>
    <w:p w14:paraId="34E4DA55" w14:textId="477EC3C1" w:rsidR="006D67FB" w:rsidRDefault="009E68D0" w:rsidP="00104900">
      <w:pPr>
        <w:pStyle w:val="BodyA"/>
        <w:spacing w:after="0" w:line="240" w:lineRule="auto"/>
        <w:ind w:left="720"/>
        <w:jc w:val="both"/>
        <w:rPr>
          <w:rFonts w:ascii="Verdana" w:hAnsi="Verdana"/>
          <w:sz w:val="28"/>
          <w:szCs w:val="28"/>
          <w:lang w:val="en-US"/>
        </w:rPr>
      </w:pPr>
      <w:r w:rsidRPr="009F49B7">
        <w:rPr>
          <w:rFonts w:ascii="Verdana" w:hAnsi="Verdana"/>
          <w:sz w:val="28"/>
          <w:szCs w:val="28"/>
          <w:lang w:val="en-US"/>
        </w:rPr>
        <w:t xml:space="preserve">The TELWG will also engage with groups external to APEC to </w:t>
      </w:r>
      <w:proofErr w:type="spellStart"/>
      <w:r w:rsidRPr="009F49B7">
        <w:rPr>
          <w:rFonts w:ascii="Verdana" w:hAnsi="Verdana"/>
          <w:sz w:val="28"/>
          <w:szCs w:val="28"/>
          <w:lang w:val="en-US"/>
        </w:rPr>
        <w:t>maximise</w:t>
      </w:r>
      <w:proofErr w:type="spellEnd"/>
      <w:r w:rsidRPr="009F49B7">
        <w:rPr>
          <w:rFonts w:ascii="Verdana" w:hAnsi="Verdana"/>
          <w:sz w:val="28"/>
          <w:szCs w:val="28"/>
          <w:lang w:val="en-US"/>
        </w:rPr>
        <w:t xml:space="preserve"> synergies, harness resources and minimize duplication</w:t>
      </w:r>
      <w:r w:rsidR="000061B5">
        <w:rPr>
          <w:rFonts w:ascii="Verdana" w:hAnsi="Verdana"/>
          <w:sz w:val="28"/>
          <w:szCs w:val="28"/>
          <w:lang w:val="en-US"/>
        </w:rPr>
        <w:t xml:space="preserve">. </w:t>
      </w:r>
    </w:p>
    <w:p w14:paraId="3814ACEB" w14:textId="77777777" w:rsidR="006D67FB" w:rsidRDefault="006D67FB" w:rsidP="00104900">
      <w:pPr>
        <w:pStyle w:val="BodyA"/>
        <w:spacing w:after="0" w:line="240" w:lineRule="auto"/>
        <w:ind w:left="720"/>
        <w:jc w:val="both"/>
        <w:rPr>
          <w:rFonts w:ascii="Verdana" w:hAnsi="Verdana"/>
          <w:sz w:val="28"/>
          <w:szCs w:val="28"/>
          <w:lang w:val="en-US"/>
        </w:rPr>
      </w:pPr>
    </w:p>
    <w:p w14:paraId="73B1B7D6" w14:textId="1A6A4089" w:rsidR="009E68D0" w:rsidRPr="009F49B7" w:rsidRDefault="00D47B9A" w:rsidP="009E68D0">
      <w:pPr>
        <w:jc w:val="both"/>
        <w:rPr>
          <w:rFonts w:ascii="Verdana" w:hAnsi="Verdana" w:cstheme="majorHAnsi"/>
          <w:b/>
          <w:sz w:val="28"/>
          <w:szCs w:val="28"/>
          <w:lang w:val="en-NZ"/>
        </w:rPr>
      </w:pPr>
      <w:r>
        <w:rPr>
          <w:rFonts w:ascii="Verdana" w:hAnsi="Verdana" w:cstheme="majorHAnsi"/>
          <w:b/>
          <w:sz w:val="28"/>
          <w:szCs w:val="28"/>
          <w:lang w:val="en-NZ"/>
        </w:rPr>
        <w:t>3</w:t>
      </w:r>
      <w:r w:rsidR="009E68D0" w:rsidRPr="009F49B7">
        <w:rPr>
          <w:rFonts w:ascii="Verdana" w:hAnsi="Verdana" w:cstheme="majorHAnsi"/>
          <w:b/>
          <w:sz w:val="28"/>
          <w:szCs w:val="28"/>
          <w:lang w:val="en-NZ"/>
        </w:rPr>
        <w:tab/>
        <w:t xml:space="preserve"> Implementation </w:t>
      </w:r>
    </w:p>
    <w:p w14:paraId="03E67CC4" w14:textId="578A6883" w:rsidR="009E68D0" w:rsidRDefault="009E68D0" w:rsidP="009E68D0">
      <w:pPr>
        <w:jc w:val="both"/>
        <w:rPr>
          <w:rFonts w:ascii="Verdana" w:hAnsi="Verdana" w:cstheme="majorHAnsi"/>
          <w:sz w:val="28"/>
          <w:szCs w:val="28"/>
          <w:lang w:val="en-NZ"/>
        </w:rPr>
      </w:pPr>
    </w:p>
    <w:p w14:paraId="24455E65" w14:textId="605F45AC" w:rsidR="00941134" w:rsidRDefault="00941134" w:rsidP="009E68D0">
      <w:pPr>
        <w:jc w:val="both"/>
        <w:rPr>
          <w:rFonts w:ascii="Verdana" w:hAnsi="Verdana" w:cstheme="majorHAnsi"/>
          <w:sz w:val="28"/>
          <w:szCs w:val="28"/>
          <w:lang w:val="en-NZ"/>
        </w:rPr>
      </w:pPr>
      <w:r>
        <w:rPr>
          <w:rFonts w:ascii="Verdana" w:hAnsi="Verdana" w:cstheme="majorHAnsi"/>
          <w:sz w:val="28"/>
          <w:szCs w:val="28"/>
          <w:lang w:val="en-NZ"/>
        </w:rPr>
        <w:t xml:space="preserve">The implementation of the Priority Areas will be </w:t>
      </w:r>
      <w:r w:rsidR="00AB10BB">
        <w:rPr>
          <w:rFonts w:ascii="Verdana" w:hAnsi="Verdana" w:cstheme="majorHAnsi"/>
          <w:sz w:val="28"/>
          <w:szCs w:val="28"/>
          <w:lang w:val="en-NZ"/>
        </w:rPr>
        <w:t>carried out by the TELWG’s three Steering Groups with the following objectives and identified possible actions:</w:t>
      </w:r>
    </w:p>
    <w:p w14:paraId="392D30C6" w14:textId="77777777" w:rsidR="00AB10BB" w:rsidRPr="009F49B7" w:rsidRDefault="00AB10BB" w:rsidP="009E68D0">
      <w:pPr>
        <w:jc w:val="both"/>
        <w:rPr>
          <w:rFonts w:ascii="Verdana" w:hAnsi="Verdana" w:cstheme="majorHAnsi"/>
          <w:sz w:val="28"/>
          <w:szCs w:val="28"/>
          <w:lang w:val="en-NZ"/>
        </w:rPr>
      </w:pPr>
    </w:p>
    <w:tbl>
      <w:tblPr>
        <w:tblStyle w:val="TableGrid"/>
        <w:tblW w:w="15025" w:type="dxa"/>
        <w:tblLayout w:type="fixed"/>
        <w:tblLook w:val="04A0" w:firstRow="1" w:lastRow="0" w:firstColumn="1" w:lastColumn="0" w:noHBand="0" w:noVBand="1"/>
      </w:tblPr>
      <w:tblGrid>
        <w:gridCol w:w="985"/>
        <w:gridCol w:w="6300"/>
        <w:gridCol w:w="7740"/>
      </w:tblGrid>
      <w:tr w:rsidR="00DA1EDF" w:rsidRPr="009F49B7" w14:paraId="78256C7D" w14:textId="77777777" w:rsidTr="00E35868">
        <w:trPr>
          <w:tblHeader/>
        </w:trPr>
        <w:tc>
          <w:tcPr>
            <w:tcW w:w="15025" w:type="dxa"/>
            <w:gridSpan w:val="3"/>
            <w:shd w:val="clear" w:color="auto" w:fill="0D0D0D" w:themeFill="text1" w:themeFillTint="F2"/>
          </w:tcPr>
          <w:p w14:paraId="451956D8" w14:textId="773C60B2" w:rsidR="00DA1EDF" w:rsidRPr="000E732A" w:rsidRDefault="00DA1EDF" w:rsidP="00DA1EDF">
            <w:pPr>
              <w:autoSpaceDE w:val="0"/>
              <w:autoSpaceDN w:val="0"/>
              <w:adjustRightInd w:val="0"/>
              <w:contextualSpacing/>
              <w:rPr>
                <w:rFonts w:ascii="Verdana" w:hAnsi="Verdana" w:cstheme="majorHAnsi"/>
                <w:b/>
                <w:bCs/>
                <w:sz w:val="28"/>
                <w:szCs w:val="28"/>
                <w:lang w:val="en-NZ"/>
              </w:rPr>
            </w:pPr>
            <w:r>
              <w:rPr>
                <w:rFonts w:ascii="Verdana" w:hAnsi="Verdana" w:cstheme="majorHAnsi"/>
                <w:b/>
                <w:bCs/>
                <w:sz w:val="28"/>
                <w:szCs w:val="28"/>
                <w:lang w:val="en-NZ"/>
              </w:rPr>
              <w:t>Liberalisation Steering Group (LSG)</w:t>
            </w:r>
          </w:p>
        </w:tc>
      </w:tr>
      <w:tr w:rsidR="009E68D0" w:rsidRPr="009F49B7" w14:paraId="60AC72C1" w14:textId="77777777" w:rsidTr="785B6C82">
        <w:tc>
          <w:tcPr>
            <w:tcW w:w="15025" w:type="dxa"/>
            <w:gridSpan w:val="3"/>
            <w:shd w:val="clear" w:color="auto" w:fill="DEEAF6" w:themeFill="accent1" w:themeFillTint="33"/>
          </w:tcPr>
          <w:p w14:paraId="6012DCC6" w14:textId="4A32D3EC" w:rsidR="25494F47" w:rsidRPr="00FD33E9" w:rsidRDefault="25494F47" w:rsidP="004B1A16">
            <w:pPr>
              <w:ind w:right="165"/>
              <w:jc w:val="both"/>
              <w:rPr>
                <w:rFonts w:ascii="Verdana" w:eastAsia="Verdana" w:hAnsi="Verdana" w:cs="Verdana"/>
                <w:sz w:val="28"/>
                <w:szCs w:val="28"/>
              </w:rPr>
            </w:pPr>
            <w:r w:rsidRPr="00FD33E9">
              <w:rPr>
                <w:rFonts w:ascii="Verdana" w:eastAsia="Verdana" w:hAnsi="Verdana" w:cs="Verdana"/>
                <w:sz w:val="28"/>
                <w:szCs w:val="28"/>
              </w:rPr>
              <w:t xml:space="preserve">The </w:t>
            </w:r>
            <w:proofErr w:type="spellStart"/>
            <w:r w:rsidRPr="00FD33E9">
              <w:rPr>
                <w:rFonts w:ascii="Verdana" w:eastAsia="Verdana" w:hAnsi="Verdana" w:cs="Verdana"/>
                <w:sz w:val="28"/>
                <w:szCs w:val="28"/>
              </w:rPr>
              <w:t>Liberalisation</w:t>
            </w:r>
            <w:proofErr w:type="spellEnd"/>
            <w:r w:rsidRPr="00FD33E9">
              <w:rPr>
                <w:rFonts w:ascii="Verdana" w:eastAsia="Verdana" w:hAnsi="Verdana" w:cs="Verdana"/>
                <w:sz w:val="28"/>
                <w:szCs w:val="28"/>
              </w:rPr>
              <w:t xml:space="preserve"> Steering Group (LSG) works to foster continued market liberalization in the telecommunications/</w:t>
            </w:r>
            <w:r w:rsidR="00491186">
              <w:rPr>
                <w:rFonts w:ascii="Verdana" w:eastAsia="Verdana" w:hAnsi="Verdana" w:cs="Verdana"/>
                <w:sz w:val="28"/>
                <w:szCs w:val="28"/>
              </w:rPr>
              <w:t xml:space="preserve"> </w:t>
            </w:r>
            <w:r w:rsidRPr="00FD33E9">
              <w:rPr>
                <w:rFonts w:ascii="Verdana" w:eastAsia="Verdana" w:hAnsi="Verdana" w:cs="Verdana"/>
                <w:sz w:val="28"/>
                <w:szCs w:val="28"/>
              </w:rPr>
              <w:t>ICT sector and encourage policy and regulatory environments that promote competition and enable innovation and investment. LSG also includes the Conformity Assessment &amp; Mutual Recognition Agreement Task Force (CA&amp;MRA TF), which aims to ensure the continued successful implementation and use of the MRA for CA and facilitate relevant information exchanges.</w:t>
            </w:r>
          </w:p>
          <w:p w14:paraId="4DAC28F7" w14:textId="0818D79A" w:rsidR="00D659F1" w:rsidRPr="009F49B7" w:rsidRDefault="00D659F1" w:rsidP="00AB1108">
            <w:pPr>
              <w:pStyle w:val="BodyA"/>
              <w:widowControl w:val="0"/>
              <w:tabs>
                <w:tab w:val="left" w:pos="14193"/>
              </w:tabs>
              <w:spacing w:after="0" w:line="240" w:lineRule="auto"/>
              <w:jc w:val="both"/>
              <w:rPr>
                <w:rFonts w:ascii="Verdana" w:hAnsi="Verdana" w:cstheme="majorHAnsi"/>
                <w:bCs/>
                <w:i/>
                <w:sz w:val="28"/>
                <w:szCs w:val="28"/>
              </w:rPr>
            </w:pPr>
          </w:p>
        </w:tc>
      </w:tr>
      <w:tr w:rsidR="009E68D0" w:rsidRPr="009F49B7" w14:paraId="23C509D7" w14:textId="77777777" w:rsidTr="785B6C82">
        <w:tc>
          <w:tcPr>
            <w:tcW w:w="985" w:type="dxa"/>
            <w:shd w:val="clear" w:color="auto" w:fill="FFE599" w:themeFill="accent4" w:themeFillTint="66"/>
          </w:tcPr>
          <w:p w14:paraId="52BB4CF3" w14:textId="77777777" w:rsidR="009E68D0" w:rsidRPr="009F49B7" w:rsidRDefault="009E68D0" w:rsidP="009E68D0">
            <w:pPr>
              <w:jc w:val="center"/>
              <w:rPr>
                <w:rFonts w:ascii="Verdana" w:hAnsi="Verdana"/>
                <w:b/>
                <w:sz w:val="28"/>
                <w:szCs w:val="28"/>
              </w:rPr>
            </w:pPr>
            <w:r w:rsidRPr="009F49B7">
              <w:rPr>
                <w:rFonts w:ascii="Verdana" w:hAnsi="Verdana"/>
                <w:b/>
                <w:sz w:val="28"/>
                <w:szCs w:val="28"/>
              </w:rPr>
              <w:t>No.</w:t>
            </w:r>
          </w:p>
        </w:tc>
        <w:tc>
          <w:tcPr>
            <w:tcW w:w="6300" w:type="dxa"/>
            <w:shd w:val="clear" w:color="auto" w:fill="FFE599" w:themeFill="accent4" w:themeFillTint="66"/>
          </w:tcPr>
          <w:p w14:paraId="7683E343" w14:textId="77777777" w:rsidR="009E68D0" w:rsidRPr="009F49B7" w:rsidRDefault="009E68D0" w:rsidP="009E68D0">
            <w:pPr>
              <w:autoSpaceDE w:val="0"/>
              <w:autoSpaceDN w:val="0"/>
              <w:adjustRightInd w:val="0"/>
              <w:contextualSpacing/>
              <w:jc w:val="center"/>
              <w:rPr>
                <w:rFonts w:ascii="Verdana" w:hAnsi="Verdana" w:cstheme="majorHAnsi"/>
                <w:b/>
                <w:bCs/>
                <w:sz w:val="28"/>
                <w:szCs w:val="28"/>
                <w:lang w:val="en-NZ"/>
              </w:rPr>
            </w:pPr>
            <w:r w:rsidRPr="009F49B7">
              <w:rPr>
                <w:rFonts w:ascii="Verdana" w:hAnsi="Verdana"/>
                <w:b/>
                <w:sz w:val="28"/>
                <w:szCs w:val="28"/>
              </w:rPr>
              <w:t>Objectives</w:t>
            </w:r>
          </w:p>
        </w:tc>
        <w:tc>
          <w:tcPr>
            <w:tcW w:w="7740" w:type="dxa"/>
            <w:shd w:val="clear" w:color="auto" w:fill="FFE599" w:themeFill="accent4" w:themeFillTint="66"/>
          </w:tcPr>
          <w:p w14:paraId="3CB26B24" w14:textId="77777777" w:rsidR="009E68D0" w:rsidRPr="009F49B7" w:rsidRDefault="009E68D0" w:rsidP="4B8AF2C6">
            <w:pPr>
              <w:autoSpaceDE w:val="0"/>
              <w:autoSpaceDN w:val="0"/>
              <w:adjustRightInd w:val="0"/>
              <w:contextualSpacing/>
              <w:jc w:val="center"/>
              <w:rPr>
                <w:rFonts w:ascii="Verdana" w:hAnsi="Verdana" w:cstheme="majorBidi"/>
                <w:b/>
                <w:bCs/>
                <w:sz w:val="28"/>
                <w:szCs w:val="28"/>
                <w:lang w:val="en-NZ"/>
              </w:rPr>
            </w:pPr>
            <w:r w:rsidRPr="785B6C82">
              <w:rPr>
                <w:rFonts w:ascii="Verdana" w:hAnsi="Verdana"/>
                <w:b/>
                <w:bCs/>
                <w:sz w:val="28"/>
                <w:szCs w:val="28"/>
              </w:rPr>
              <w:t>Actions</w:t>
            </w:r>
          </w:p>
        </w:tc>
      </w:tr>
      <w:tr w:rsidR="007D484F" w:rsidRPr="009F49B7" w14:paraId="727D30A2" w14:textId="77777777" w:rsidTr="785B6C82">
        <w:trPr>
          <w:trHeight w:val="395"/>
        </w:trPr>
        <w:tc>
          <w:tcPr>
            <w:tcW w:w="985" w:type="dxa"/>
          </w:tcPr>
          <w:p w14:paraId="591734B3" w14:textId="209AF097" w:rsidR="007D484F" w:rsidRPr="009F49B7" w:rsidRDefault="007D484F" w:rsidP="007D484F">
            <w:pPr>
              <w:jc w:val="center"/>
              <w:rPr>
                <w:rFonts w:ascii="Verdana" w:hAnsi="Verdana"/>
                <w:b/>
                <w:sz w:val="28"/>
                <w:szCs w:val="28"/>
              </w:rPr>
            </w:pPr>
            <w:r w:rsidRPr="0030342C">
              <w:rPr>
                <w:rFonts w:ascii="Verdana" w:hAnsi="Verdana"/>
                <w:sz w:val="28"/>
                <w:szCs w:val="28"/>
              </w:rPr>
              <w:t>1</w:t>
            </w:r>
            <w:r>
              <w:rPr>
                <w:rFonts w:ascii="Verdana" w:hAnsi="Verdana"/>
                <w:sz w:val="28"/>
                <w:szCs w:val="28"/>
              </w:rPr>
              <w:t>.</w:t>
            </w:r>
          </w:p>
        </w:tc>
        <w:tc>
          <w:tcPr>
            <w:tcW w:w="6300" w:type="dxa"/>
          </w:tcPr>
          <w:p w14:paraId="413372D9" w14:textId="750D4DF3" w:rsidR="007D484F" w:rsidRPr="009F49B7" w:rsidRDefault="007D484F" w:rsidP="007D484F">
            <w:pPr>
              <w:autoSpaceDE w:val="0"/>
              <w:autoSpaceDN w:val="0"/>
              <w:adjustRightInd w:val="0"/>
              <w:contextualSpacing/>
              <w:rPr>
                <w:rFonts w:ascii="Verdana" w:hAnsi="Verdana"/>
                <w:sz w:val="28"/>
                <w:szCs w:val="28"/>
              </w:rPr>
            </w:pPr>
            <w:r w:rsidRPr="0030342C">
              <w:rPr>
                <w:rFonts w:ascii="Verdana" w:hAnsi="Verdana"/>
                <w:sz w:val="28"/>
                <w:szCs w:val="28"/>
              </w:rPr>
              <w:t>Promot</w:t>
            </w:r>
            <w:r>
              <w:rPr>
                <w:rFonts w:ascii="Verdana" w:hAnsi="Verdana"/>
                <w:sz w:val="28"/>
                <w:szCs w:val="28"/>
              </w:rPr>
              <w:t>ion of</w:t>
            </w:r>
            <w:r w:rsidRPr="0030342C">
              <w:rPr>
                <w:rFonts w:ascii="Verdana" w:hAnsi="Verdana"/>
                <w:sz w:val="28"/>
                <w:szCs w:val="28"/>
              </w:rPr>
              <w:t xml:space="preserve"> an enabling environment that encourages</w:t>
            </w:r>
            <w:r w:rsidRPr="0030342C" w:rsidDel="009C2FD5">
              <w:rPr>
                <w:rFonts w:ascii="Verdana" w:hAnsi="Verdana"/>
                <w:sz w:val="28"/>
                <w:szCs w:val="28"/>
              </w:rPr>
              <w:t xml:space="preserve"> </w:t>
            </w:r>
            <w:r w:rsidDel="009C2FD5">
              <w:rPr>
                <w:rFonts w:ascii="Verdana" w:hAnsi="Verdana"/>
                <w:sz w:val="28"/>
                <w:szCs w:val="28"/>
              </w:rPr>
              <w:t>inclusiveness,</w:t>
            </w:r>
            <w:r>
              <w:rPr>
                <w:rFonts w:ascii="Verdana" w:hAnsi="Verdana"/>
                <w:sz w:val="28"/>
                <w:szCs w:val="28"/>
              </w:rPr>
              <w:t xml:space="preserve"> </w:t>
            </w:r>
            <w:r w:rsidRPr="0030342C">
              <w:rPr>
                <w:rFonts w:ascii="Verdana" w:hAnsi="Verdana"/>
                <w:sz w:val="28"/>
                <w:szCs w:val="28"/>
              </w:rPr>
              <w:t>innovation and competition</w:t>
            </w:r>
            <w:r>
              <w:rPr>
                <w:rFonts w:ascii="Verdana" w:hAnsi="Verdana"/>
                <w:sz w:val="28"/>
                <w:szCs w:val="28"/>
              </w:rPr>
              <w:t>.</w:t>
            </w:r>
          </w:p>
        </w:tc>
        <w:tc>
          <w:tcPr>
            <w:tcW w:w="7740" w:type="dxa"/>
          </w:tcPr>
          <w:p w14:paraId="7EF395D0" w14:textId="77777777" w:rsidR="007D484F" w:rsidRDefault="007D484F" w:rsidP="007D484F">
            <w:pPr>
              <w:pStyle w:val="ListParagraph"/>
              <w:numPr>
                <w:ilvl w:val="0"/>
                <w:numId w:val="4"/>
              </w:numPr>
              <w:spacing w:after="0" w:line="240" w:lineRule="auto"/>
              <w:ind w:right="254"/>
              <w:rPr>
                <w:rFonts w:asciiTheme="minorHAnsi" w:eastAsiaTheme="minorEastAsia" w:hAnsiTheme="minorHAnsi" w:cstheme="minorBidi"/>
                <w:sz w:val="24"/>
                <w:szCs w:val="24"/>
                <w:lang w:val="en-NZ"/>
              </w:rPr>
            </w:pPr>
            <w:r>
              <w:rPr>
                <w:rFonts w:ascii="Verdana" w:hAnsi="Verdana" w:cs="Calibri Light"/>
                <w:sz w:val="28"/>
                <w:szCs w:val="28"/>
                <w:lang w:val="en-NZ"/>
              </w:rPr>
              <w:t>E</w:t>
            </w:r>
            <w:r w:rsidRPr="0212ACAF">
              <w:rPr>
                <w:rFonts w:ascii="Verdana" w:hAnsi="Verdana" w:cs="Calibri Light"/>
                <w:sz w:val="28"/>
                <w:szCs w:val="28"/>
                <w:lang w:val="en-NZ"/>
              </w:rPr>
              <w:t xml:space="preserve">xchange information and </w:t>
            </w:r>
            <w:r>
              <w:rPr>
                <w:rFonts w:ascii="Verdana" w:hAnsi="Verdana" w:cs="Calibri Light"/>
                <w:sz w:val="28"/>
                <w:szCs w:val="28"/>
                <w:lang w:val="en-NZ"/>
              </w:rPr>
              <w:t xml:space="preserve">best </w:t>
            </w:r>
            <w:r w:rsidRPr="0212ACAF">
              <w:rPr>
                <w:rFonts w:ascii="Verdana" w:hAnsi="Verdana" w:cs="Calibri Light"/>
                <w:sz w:val="28"/>
                <w:szCs w:val="28"/>
                <w:lang w:val="en-NZ"/>
              </w:rPr>
              <w:t xml:space="preserve">practices on policy and regulatory approaches </w:t>
            </w:r>
            <w:r>
              <w:rPr>
                <w:rFonts w:ascii="Verdana" w:hAnsi="Verdana" w:cs="Calibri Light"/>
                <w:sz w:val="28"/>
                <w:szCs w:val="28"/>
                <w:lang w:val="en-NZ"/>
              </w:rPr>
              <w:t xml:space="preserve">in the digital </w:t>
            </w:r>
            <w:r>
              <w:rPr>
                <w:rFonts w:ascii="Verdana" w:hAnsi="Verdana" w:cs="Calibri Light"/>
                <w:sz w:val="28"/>
                <w:szCs w:val="28"/>
                <w:lang w:val="en-NZ"/>
              </w:rPr>
              <w:lastRenderedPageBreak/>
              <w:t xml:space="preserve">sphere </w:t>
            </w:r>
            <w:r w:rsidRPr="0212ACAF">
              <w:rPr>
                <w:rFonts w:ascii="Verdana" w:hAnsi="Verdana" w:cs="Calibri Light"/>
                <w:sz w:val="28"/>
                <w:szCs w:val="28"/>
                <w:lang w:val="en-NZ"/>
              </w:rPr>
              <w:t>toward</w:t>
            </w:r>
            <w:r>
              <w:rPr>
                <w:rFonts w:ascii="Verdana" w:hAnsi="Verdana" w:cs="Calibri Light"/>
                <w:sz w:val="28"/>
                <w:szCs w:val="28"/>
                <w:lang w:val="en-NZ"/>
              </w:rPr>
              <w:t>s</w:t>
            </w:r>
            <w:r w:rsidRPr="0212ACAF">
              <w:rPr>
                <w:rFonts w:ascii="Verdana" w:hAnsi="Verdana" w:cs="Calibri Light"/>
                <w:sz w:val="28"/>
                <w:szCs w:val="28"/>
                <w:lang w:val="en-NZ"/>
              </w:rPr>
              <w:t xml:space="preserve"> fostering effective competition</w:t>
            </w:r>
            <w:r>
              <w:rPr>
                <w:rFonts w:ascii="Verdana" w:hAnsi="Verdana" w:cs="Calibri Light"/>
                <w:sz w:val="28"/>
                <w:szCs w:val="28"/>
                <w:lang w:val="en-NZ"/>
              </w:rPr>
              <w:t xml:space="preserve"> and innovation</w:t>
            </w:r>
            <w:r w:rsidRPr="0212ACAF">
              <w:rPr>
                <w:rFonts w:ascii="Verdana" w:hAnsi="Verdana" w:cs="Calibri Light"/>
                <w:sz w:val="28"/>
                <w:szCs w:val="28"/>
                <w:lang w:val="en-NZ"/>
              </w:rPr>
              <w:t>.</w:t>
            </w:r>
          </w:p>
          <w:p w14:paraId="61C74439" w14:textId="77777777" w:rsidR="007D484F" w:rsidRDefault="007D484F" w:rsidP="007D484F">
            <w:pPr>
              <w:pStyle w:val="ListParagraph"/>
              <w:numPr>
                <w:ilvl w:val="0"/>
                <w:numId w:val="4"/>
              </w:numPr>
              <w:spacing w:after="0" w:line="240" w:lineRule="auto"/>
              <w:rPr>
                <w:rFonts w:ascii="Verdana" w:eastAsia="Verdana" w:hAnsi="Verdana" w:cs="Verdana"/>
                <w:sz w:val="28"/>
                <w:szCs w:val="28"/>
              </w:rPr>
            </w:pPr>
            <w:r>
              <w:rPr>
                <w:rFonts w:ascii="Verdana" w:eastAsia="Verdana" w:hAnsi="Verdana" w:cs="Verdana"/>
                <w:sz w:val="28"/>
                <w:szCs w:val="28"/>
              </w:rPr>
              <w:t>E</w:t>
            </w:r>
            <w:r w:rsidRPr="004B1A16">
              <w:rPr>
                <w:rFonts w:ascii="Verdana" w:eastAsia="Verdana" w:hAnsi="Verdana" w:cs="Verdana"/>
                <w:sz w:val="28"/>
                <w:szCs w:val="28"/>
              </w:rPr>
              <w:t xml:space="preserve">xchange information and </w:t>
            </w:r>
            <w:r>
              <w:rPr>
                <w:rFonts w:ascii="Verdana" w:eastAsia="Verdana" w:hAnsi="Verdana" w:cs="Verdana"/>
                <w:sz w:val="28"/>
                <w:szCs w:val="28"/>
              </w:rPr>
              <w:t xml:space="preserve">best </w:t>
            </w:r>
            <w:r w:rsidRPr="004B1A16">
              <w:rPr>
                <w:rFonts w:ascii="Verdana" w:eastAsia="Verdana" w:hAnsi="Verdana" w:cs="Verdana"/>
                <w:sz w:val="28"/>
                <w:szCs w:val="28"/>
              </w:rPr>
              <w:t>practices on the use of telecommunications/</w:t>
            </w:r>
            <w:r>
              <w:rPr>
                <w:rFonts w:ascii="Verdana" w:eastAsia="Verdana" w:hAnsi="Verdana" w:cs="Verdana"/>
                <w:sz w:val="28"/>
                <w:szCs w:val="28"/>
              </w:rPr>
              <w:t xml:space="preserve"> </w:t>
            </w:r>
            <w:r w:rsidRPr="004B1A16">
              <w:rPr>
                <w:rFonts w:ascii="Verdana" w:eastAsia="Verdana" w:hAnsi="Verdana" w:cs="Verdana"/>
                <w:sz w:val="28"/>
                <w:szCs w:val="28"/>
              </w:rPr>
              <w:t xml:space="preserve">ICT networks and services to support vertical applications. </w:t>
            </w:r>
          </w:p>
          <w:p w14:paraId="34911BB2" w14:textId="77777777" w:rsidR="007D484F" w:rsidRDefault="007D484F" w:rsidP="007D484F">
            <w:pPr>
              <w:pStyle w:val="ListParagraph"/>
              <w:numPr>
                <w:ilvl w:val="0"/>
                <w:numId w:val="4"/>
              </w:numPr>
              <w:spacing w:after="0" w:line="240" w:lineRule="auto"/>
              <w:rPr>
                <w:rFonts w:ascii="Verdana" w:eastAsia="Verdana" w:hAnsi="Verdana" w:cs="Verdana"/>
                <w:sz w:val="28"/>
                <w:szCs w:val="28"/>
              </w:rPr>
            </w:pPr>
            <w:r>
              <w:rPr>
                <w:rFonts w:ascii="Verdana" w:eastAsia="Verdana" w:hAnsi="Verdana" w:cs="Verdana"/>
                <w:sz w:val="28"/>
                <w:szCs w:val="28"/>
              </w:rPr>
              <w:t>Exchange of information and best practices in managing the trends, use and challenges of new and emerging digital technologies.</w:t>
            </w:r>
          </w:p>
          <w:p w14:paraId="3DE03F1A" w14:textId="77777777" w:rsidR="007D484F" w:rsidRDefault="007D484F" w:rsidP="007D484F">
            <w:pPr>
              <w:pStyle w:val="ListParagraph"/>
              <w:widowControl w:val="0"/>
              <w:numPr>
                <w:ilvl w:val="0"/>
                <w:numId w:val="4"/>
              </w:numPr>
              <w:autoSpaceDE w:val="0"/>
              <w:autoSpaceDN w:val="0"/>
              <w:adjustRightInd w:val="0"/>
              <w:spacing w:after="0" w:line="240" w:lineRule="auto"/>
              <w:ind w:right="254"/>
              <w:contextualSpacing/>
              <w:rPr>
                <w:rFonts w:ascii="Verdana" w:hAnsi="Verdana"/>
                <w:sz w:val="28"/>
                <w:szCs w:val="28"/>
              </w:rPr>
            </w:pPr>
            <w:r>
              <w:rPr>
                <w:rFonts w:ascii="Verdana" w:hAnsi="Verdana"/>
                <w:sz w:val="28"/>
                <w:szCs w:val="28"/>
              </w:rPr>
              <w:t xml:space="preserve">Exchange information and best practices on ICT measurement and digital integration, </w:t>
            </w:r>
            <w:r w:rsidRPr="007E70DE">
              <w:rPr>
                <w:rFonts w:ascii="Verdana" w:hAnsi="Verdana"/>
                <w:sz w:val="28"/>
                <w:szCs w:val="28"/>
              </w:rPr>
              <w:t>and how it contribute</w:t>
            </w:r>
            <w:r>
              <w:rPr>
                <w:rFonts w:ascii="Verdana" w:hAnsi="Verdana"/>
                <w:sz w:val="28"/>
                <w:szCs w:val="28"/>
              </w:rPr>
              <w:t>s</w:t>
            </w:r>
            <w:r w:rsidRPr="007E70DE">
              <w:rPr>
                <w:rFonts w:ascii="Verdana" w:hAnsi="Verdana"/>
                <w:sz w:val="28"/>
                <w:szCs w:val="28"/>
              </w:rPr>
              <w:t xml:space="preserve"> to measuring the progress of digital transformation</w:t>
            </w:r>
            <w:r>
              <w:rPr>
                <w:rFonts w:ascii="Verdana" w:hAnsi="Verdana"/>
                <w:sz w:val="28"/>
                <w:szCs w:val="28"/>
              </w:rPr>
              <w:t>.</w:t>
            </w:r>
          </w:p>
          <w:p w14:paraId="5EE18E34" w14:textId="77777777" w:rsidR="007D484F" w:rsidRDefault="007D484F" w:rsidP="007D484F">
            <w:pPr>
              <w:pStyle w:val="ListParagraph"/>
              <w:numPr>
                <w:ilvl w:val="0"/>
                <w:numId w:val="4"/>
              </w:numPr>
              <w:spacing w:after="0" w:line="240" w:lineRule="auto"/>
              <w:rPr>
                <w:rFonts w:ascii="Verdana" w:eastAsia="Verdana" w:hAnsi="Verdana" w:cs="Verdana"/>
                <w:sz w:val="28"/>
                <w:szCs w:val="28"/>
              </w:rPr>
            </w:pPr>
            <w:r w:rsidRPr="004B1A16">
              <w:rPr>
                <w:rFonts w:ascii="Verdana" w:eastAsia="Verdana" w:hAnsi="Verdana" w:cs="Verdana"/>
                <w:sz w:val="28"/>
                <w:szCs w:val="28"/>
              </w:rPr>
              <w:t>Promote opportunities to foster digital talent</w:t>
            </w:r>
            <w:r>
              <w:rPr>
                <w:rFonts w:ascii="Verdana" w:eastAsia="Verdana" w:hAnsi="Verdana" w:cs="Verdana"/>
                <w:sz w:val="28"/>
                <w:szCs w:val="28"/>
              </w:rPr>
              <w:t>s and reskilling/ upskilling</w:t>
            </w:r>
            <w:r w:rsidRPr="004B1A16">
              <w:rPr>
                <w:rFonts w:ascii="Verdana" w:eastAsia="Verdana" w:hAnsi="Verdana" w:cs="Verdana"/>
                <w:sz w:val="28"/>
                <w:szCs w:val="28"/>
              </w:rPr>
              <w:t xml:space="preserve"> in the APEC region.</w:t>
            </w:r>
          </w:p>
          <w:p w14:paraId="0E193EDB" w14:textId="77777777" w:rsidR="007D484F" w:rsidRPr="00FA72FD" w:rsidRDefault="007D484F" w:rsidP="007D484F">
            <w:pPr>
              <w:pStyle w:val="ListParagraph"/>
              <w:widowControl w:val="0"/>
              <w:numPr>
                <w:ilvl w:val="0"/>
                <w:numId w:val="4"/>
              </w:numPr>
              <w:autoSpaceDE w:val="0"/>
              <w:autoSpaceDN w:val="0"/>
              <w:adjustRightInd w:val="0"/>
              <w:spacing w:after="0" w:line="240" w:lineRule="auto"/>
              <w:ind w:right="254"/>
              <w:contextualSpacing/>
              <w:rPr>
                <w:rFonts w:ascii="Verdana" w:hAnsi="Verdana" w:cs="Calibri Light"/>
                <w:sz w:val="28"/>
                <w:szCs w:val="28"/>
                <w:lang w:val="en-NZ"/>
              </w:rPr>
            </w:pPr>
            <w:r>
              <w:rPr>
                <w:rFonts w:ascii="Verdana" w:hAnsi="Verdana"/>
                <w:sz w:val="28"/>
                <w:szCs w:val="28"/>
              </w:rPr>
              <w:t>Exchange</w:t>
            </w:r>
            <w:r w:rsidRPr="00FA72FD">
              <w:rPr>
                <w:rFonts w:ascii="Verdana" w:hAnsi="Verdana"/>
                <w:sz w:val="28"/>
                <w:szCs w:val="28"/>
              </w:rPr>
              <w:t xml:space="preserve"> information and best practices on initiatives to ensure inclusive digital transformation, including the </w:t>
            </w:r>
            <w:r>
              <w:rPr>
                <w:rFonts w:ascii="Verdana" w:hAnsi="Verdana" w:cs="Calibri Light"/>
                <w:sz w:val="28"/>
                <w:szCs w:val="28"/>
                <w:lang w:val="en-NZ"/>
              </w:rPr>
              <w:t>promotion of</w:t>
            </w:r>
            <w:r w:rsidRPr="00FA72FD">
              <w:rPr>
                <w:rFonts w:ascii="Verdana" w:hAnsi="Verdana" w:cs="Calibri Light"/>
                <w:sz w:val="28"/>
                <w:szCs w:val="28"/>
                <w:lang w:val="en-NZ"/>
              </w:rPr>
              <w:t xml:space="preserve"> gender equality</w:t>
            </w:r>
            <w:r>
              <w:rPr>
                <w:rFonts w:ascii="Verdana" w:hAnsi="Verdana" w:cs="Calibri Light"/>
                <w:sz w:val="28"/>
                <w:szCs w:val="28"/>
                <w:lang w:val="en-NZ"/>
              </w:rPr>
              <w:t xml:space="preserve"> and</w:t>
            </w:r>
            <w:r w:rsidRPr="00FA72FD">
              <w:rPr>
                <w:rFonts w:ascii="Verdana" w:hAnsi="Verdana" w:cs="Calibri Light"/>
                <w:sz w:val="28"/>
                <w:szCs w:val="28"/>
                <w:lang w:val="en-NZ"/>
              </w:rPr>
              <w:t xml:space="preserve"> mainstreaming in the telecommunications/ ICT sector.</w:t>
            </w:r>
          </w:p>
          <w:p w14:paraId="6DC9D1A9" w14:textId="77777777" w:rsidR="007D484F" w:rsidRPr="004B1A16" w:rsidRDefault="007D484F" w:rsidP="007D484F">
            <w:pPr>
              <w:widowControl w:val="0"/>
              <w:autoSpaceDE w:val="0"/>
              <w:autoSpaceDN w:val="0"/>
              <w:adjustRightInd w:val="0"/>
              <w:ind w:right="254"/>
              <w:contextualSpacing/>
              <w:rPr>
                <w:rFonts w:ascii="Verdana" w:hAnsi="Verdana"/>
                <w:sz w:val="28"/>
                <w:szCs w:val="28"/>
              </w:rPr>
            </w:pPr>
          </w:p>
        </w:tc>
      </w:tr>
      <w:tr w:rsidR="007D484F" w:rsidRPr="009F49B7" w14:paraId="6B377297" w14:textId="77777777" w:rsidTr="00EF6EA9">
        <w:trPr>
          <w:trHeight w:val="1893"/>
        </w:trPr>
        <w:tc>
          <w:tcPr>
            <w:tcW w:w="985" w:type="dxa"/>
          </w:tcPr>
          <w:p w14:paraId="47BFBAF3" w14:textId="7AB420D7" w:rsidR="007D484F" w:rsidRPr="009F49B7" w:rsidRDefault="007D484F" w:rsidP="007D484F">
            <w:pPr>
              <w:jc w:val="center"/>
              <w:rPr>
                <w:rFonts w:ascii="Verdana" w:hAnsi="Verdana"/>
                <w:sz w:val="28"/>
                <w:szCs w:val="28"/>
              </w:rPr>
            </w:pPr>
            <w:r>
              <w:rPr>
                <w:rFonts w:ascii="Verdana" w:hAnsi="Verdana"/>
                <w:sz w:val="28"/>
                <w:szCs w:val="28"/>
              </w:rPr>
              <w:lastRenderedPageBreak/>
              <w:t>2.</w:t>
            </w:r>
          </w:p>
        </w:tc>
        <w:tc>
          <w:tcPr>
            <w:tcW w:w="6300" w:type="dxa"/>
          </w:tcPr>
          <w:p w14:paraId="7542FF0C" w14:textId="639B59B4" w:rsidR="007D484F" w:rsidRPr="009F49B7" w:rsidRDefault="007D484F" w:rsidP="007D484F">
            <w:pPr>
              <w:autoSpaceDE w:val="0"/>
              <w:autoSpaceDN w:val="0"/>
              <w:adjustRightInd w:val="0"/>
              <w:contextualSpacing/>
              <w:rPr>
                <w:rFonts w:ascii="Verdana" w:hAnsi="Verdana"/>
                <w:sz w:val="28"/>
                <w:szCs w:val="28"/>
              </w:rPr>
            </w:pPr>
            <w:r>
              <w:rPr>
                <w:rFonts w:ascii="Verdana" w:hAnsi="Verdana"/>
                <w:sz w:val="28"/>
                <w:szCs w:val="28"/>
              </w:rPr>
              <w:t xml:space="preserve">Increased </w:t>
            </w:r>
            <w:r w:rsidRPr="00D04F63">
              <w:rPr>
                <w:rFonts w:ascii="Verdana" w:hAnsi="Verdana"/>
                <w:sz w:val="28"/>
                <w:szCs w:val="28"/>
              </w:rPr>
              <w:t>availability, accessibility and affordability of ICTs</w:t>
            </w:r>
            <w:r>
              <w:rPr>
                <w:rFonts w:ascii="Verdana" w:hAnsi="Verdana"/>
                <w:sz w:val="28"/>
                <w:szCs w:val="28"/>
              </w:rPr>
              <w:t>.</w:t>
            </w:r>
          </w:p>
        </w:tc>
        <w:tc>
          <w:tcPr>
            <w:tcW w:w="7740" w:type="dxa"/>
          </w:tcPr>
          <w:p w14:paraId="7211E84C" w14:textId="77777777" w:rsidR="007D484F" w:rsidRPr="00285B6E" w:rsidRDefault="007D484F" w:rsidP="007D484F">
            <w:pPr>
              <w:pStyle w:val="ListParagraph"/>
              <w:widowControl w:val="0"/>
              <w:numPr>
                <w:ilvl w:val="0"/>
                <w:numId w:val="7"/>
              </w:numPr>
              <w:autoSpaceDE w:val="0"/>
              <w:autoSpaceDN w:val="0"/>
              <w:adjustRightInd w:val="0"/>
              <w:spacing w:after="0" w:line="240" w:lineRule="auto"/>
              <w:ind w:right="254"/>
              <w:contextualSpacing/>
              <w:rPr>
                <w:rFonts w:ascii="Verdana" w:hAnsi="Verdana"/>
                <w:sz w:val="28"/>
                <w:szCs w:val="28"/>
              </w:rPr>
            </w:pPr>
            <w:r>
              <w:rPr>
                <w:rFonts w:ascii="Verdana" w:hAnsi="Verdana" w:cs="Calibri Light"/>
                <w:sz w:val="28"/>
                <w:szCs w:val="28"/>
                <w:lang w:val="en-NZ"/>
              </w:rPr>
              <w:t>E</w:t>
            </w:r>
            <w:r w:rsidRPr="785B6C82">
              <w:rPr>
                <w:rFonts w:ascii="Verdana" w:hAnsi="Verdana" w:cs="Calibri Light"/>
                <w:sz w:val="28"/>
                <w:szCs w:val="28"/>
                <w:lang w:val="en-NZ"/>
              </w:rPr>
              <w:t>xchange</w:t>
            </w:r>
            <w:r>
              <w:rPr>
                <w:rFonts w:ascii="Verdana" w:hAnsi="Verdana" w:cs="Calibri Light"/>
                <w:sz w:val="28"/>
                <w:szCs w:val="28"/>
                <w:lang w:val="en-NZ"/>
              </w:rPr>
              <w:t xml:space="preserve"> </w:t>
            </w:r>
            <w:r w:rsidRPr="785B6C82">
              <w:rPr>
                <w:rFonts w:ascii="Verdana" w:hAnsi="Verdana" w:cs="Calibri Light"/>
                <w:sz w:val="28"/>
                <w:szCs w:val="28"/>
                <w:lang w:val="en-NZ"/>
              </w:rPr>
              <w:t xml:space="preserve">information </w:t>
            </w:r>
            <w:r>
              <w:rPr>
                <w:rFonts w:ascii="Verdana" w:hAnsi="Verdana" w:cs="Calibri Light"/>
                <w:sz w:val="28"/>
                <w:szCs w:val="28"/>
                <w:lang w:val="en-NZ"/>
              </w:rPr>
              <w:t xml:space="preserve">and sharing of best practices </w:t>
            </w:r>
            <w:r w:rsidRPr="785B6C82">
              <w:rPr>
                <w:rFonts w:ascii="Verdana" w:hAnsi="Verdana" w:cs="Calibri Light"/>
                <w:sz w:val="28"/>
                <w:szCs w:val="28"/>
                <w:lang w:val="en-NZ"/>
              </w:rPr>
              <w:t xml:space="preserve">on universal </w:t>
            </w:r>
            <w:r w:rsidRPr="0034314B">
              <w:rPr>
                <w:rFonts w:ascii="Verdana" w:hAnsi="Verdana" w:cs="Calibri Light"/>
                <w:sz w:val="28"/>
                <w:szCs w:val="28"/>
                <w:lang w:val="en-NZ"/>
              </w:rPr>
              <w:t xml:space="preserve">telecommunications </w:t>
            </w:r>
            <w:r>
              <w:rPr>
                <w:rFonts w:ascii="Verdana" w:hAnsi="Verdana" w:cs="Calibri Light"/>
                <w:sz w:val="28"/>
                <w:szCs w:val="28"/>
                <w:lang w:val="en-NZ"/>
              </w:rPr>
              <w:t>/</w:t>
            </w:r>
            <w:r w:rsidRPr="0034314B">
              <w:rPr>
                <w:rFonts w:ascii="Verdana" w:hAnsi="Verdana" w:cs="Calibri Light"/>
                <w:sz w:val="28"/>
                <w:szCs w:val="28"/>
                <w:lang w:val="en-NZ"/>
              </w:rPr>
              <w:t>ICT services</w:t>
            </w:r>
            <w:r w:rsidRPr="785B6C82">
              <w:rPr>
                <w:rFonts w:ascii="Verdana" w:hAnsi="Verdana" w:cs="Calibri Light"/>
                <w:sz w:val="28"/>
                <w:szCs w:val="28"/>
                <w:lang w:val="en-NZ"/>
              </w:rPr>
              <w:t xml:space="preserve"> strategies</w:t>
            </w:r>
            <w:r>
              <w:rPr>
                <w:rFonts w:ascii="Verdana" w:hAnsi="Verdana" w:cs="Calibri Light"/>
                <w:sz w:val="28"/>
                <w:szCs w:val="28"/>
                <w:lang w:val="en-NZ"/>
              </w:rPr>
              <w:t>, including the development of Next-Generation Universal Service Obligations frameworks (“USO 2.0”).</w:t>
            </w:r>
          </w:p>
          <w:p w14:paraId="34099269" w14:textId="77777777" w:rsidR="007D484F" w:rsidRPr="006C7C67" w:rsidRDefault="007D484F" w:rsidP="007D484F">
            <w:pPr>
              <w:pStyle w:val="ListParagraph"/>
              <w:widowControl w:val="0"/>
              <w:numPr>
                <w:ilvl w:val="0"/>
                <w:numId w:val="7"/>
              </w:numPr>
              <w:autoSpaceDE w:val="0"/>
              <w:autoSpaceDN w:val="0"/>
              <w:adjustRightInd w:val="0"/>
              <w:spacing w:after="0" w:line="240" w:lineRule="auto"/>
              <w:ind w:right="254"/>
              <w:contextualSpacing/>
              <w:rPr>
                <w:rFonts w:ascii="Verdana" w:hAnsi="Verdana"/>
                <w:sz w:val="28"/>
                <w:szCs w:val="28"/>
              </w:rPr>
            </w:pPr>
            <w:r w:rsidRPr="785B6C82">
              <w:rPr>
                <w:rFonts w:ascii="Verdana" w:hAnsi="Verdana" w:cs="Calibri Light"/>
                <w:sz w:val="28"/>
                <w:szCs w:val="28"/>
                <w:lang w:val="en-NZ"/>
              </w:rPr>
              <w:t xml:space="preserve">Identify </w:t>
            </w:r>
            <w:r>
              <w:rPr>
                <w:rFonts w:ascii="Verdana" w:hAnsi="Verdana" w:cs="Calibri Light"/>
                <w:sz w:val="28"/>
                <w:szCs w:val="28"/>
                <w:lang w:val="en-NZ"/>
              </w:rPr>
              <w:t>best</w:t>
            </w:r>
            <w:r w:rsidRPr="785B6C82">
              <w:rPr>
                <w:rFonts w:ascii="Verdana" w:hAnsi="Verdana" w:cs="Calibri Light"/>
                <w:sz w:val="28"/>
                <w:szCs w:val="28"/>
                <w:lang w:val="en-NZ"/>
              </w:rPr>
              <w:t xml:space="preserve"> practices</w:t>
            </w:r>
            <w:r>
              <w:rPr>
                <w:rFonts w:ascii="Verdana" w:hAnsi="Verdana" w:cs="Calibri Light"/>
                <w:sz w:val="28"/>
                <w:szCs w:val="28"/>
                <w:lang w:val="en-NZ"/>
              </w:rPr>
              <w:t xml:space="preserve"> for and exchange information</w:t>
            </w:r>
            <w:r w:rsidRPr="785B6C82">
              <w:rPr>
                <w:rFonts w:ascii="Verdana" w:hAnsi="Verdana" w:cs="Calibri Light"/>
                <w:sz w:val="28"/>
                <w:szCs w:val="28"/>
                <w:lang w:val="en-NZ"/>
              </w:rPr>
              <w:t xml:space="preserve"> </w:t>
            </w:r>
            <w:r>
              <w:rPr>
                <w:rFonts w:ascii="Verdana" w:hAnsi="Verdana" w:cs="Calibri Light"/>
                <w:sz w:val="28"/>
                <w:szCs w:val="28"/>
                <w:lang w:val="en-NZ"/>
              </w:rPr>
              <w:t>on</w:t>
            </w:r>
            <w:r w:rsidRPr="785B6C82">
              <w:rPr>
                <w:rFonts w:ascii="Verdana" w:hAnsi="Verdana" w:cs="Calibri Light"/>
                <w:sz w:val="28"/>
                <w:szCs w:val="28"/>
                <w:lang w:val="en-NZ"/>
              </w:rPr>
              <w:t xml:space="preserve"> measuring and </w:t>
            </w:r>
            <w:r>
              <w:rPr>
                <w:rFonts w:ascii="Verdana" w:hAnsi="Verdana" w:cs="Calibri Light"/>
                <w:sz w:val="28"/>
                <w:szCs w:val="28"/>
                <w:lang w:val="en-NZ"/>
              </w:rPr>
              <w:t>enhancing</w:t>
            </w:r>
            <w:r w:rsidRPr="785B6C82">
              <w:rPr>
                <w:rFonts w:ascii="Verdana" w:hAnsi="Verdana" w:cs="Calibri Light"/>
                <w:sz w:val="28"/>
                <w:szCs w:val="28"/>
                <w:lang w:val="en-NZ"/>
              </w:rPr>
              <w:t xml:space="preserve"> digital literacy and skills</w:t>
            </w:r>
            <w:r>
              <w:rPr>
                <w:rFonts w:ascii="Verdana" w:hAnsi="Verdana" w:cs="Calibri Light"/>
                <w:sz w:val="28"/>
                <w:szCs w:val="28"/>
                <w:lang w:val="en-NZ"/>
              </w:rPr>
              <w:t>.</w:t>
            </w:r>
          </w:p>
          <w:p w14:paraId="263F734F" w14:textId="11BD60CA" w:rsidR="007D484F" w:rsidRPr="00525BA8" w:rsidRDefault="007D484F" w:rsidP="007D484F">
            <w:pPr>
              <w:widowControl w:val="0"/>
              <w:autoSpaceDE w:val="0"/>
              <w:autoSpaceDN w:val="0"/>
              <w:adjustRightInd w:val="0"/>
              <w:ind w:right="254"/>
              <w:contextualSpacing/>
              <w:rPr>
                <w:rFonts w:ascii="Verdana" w:hAnsi="Verdana"/>
                <w:sz w:val="28"/>
                <w:szCs w:val="28"/>
              </w:rPr>
            </w:pPr>
          </w:p>
        </w:tc>
      </w:tr>
      <w:tr w:rsidR="007D484F" w:rsidRPr="009F49B7" w14:paraId="7AF377AD" w14:textId="77777777" w:rsidTr="785B6C82">
        <w:trPr>
          <w:trHeight w:val="77"/>
        </w:trPr>
        <w:tc>
          <w:tcPr>
            <w:tcW w:w="985" w:type="dxa"/>
          </w:tcPr>
          <w:p w14:paraId="49340357" w14:textId="5635DB17" w:rsidR="007D484F" w:rsidRPr="009F49B7" w:rsidRDefault="007D484F" w:rsidP="007D484F">
            <w:pPr>
              <w:jc w:val="center"/>
              <w:rPr>
                <w:rFonts w:ascii="Verdana" w:hAnsi="Verdana"/>
                <w:sz w:val="28"/>
                <w:szCs w:val="28"/>
              </w:rPr>
            </w:pPr>
            <w:r>
              <w:rPr>
                <w:rFonts w:ascii="Verdana" w:hAnsi="Verdana"/>
                <w:sz w:val="28"/>
                <w:szCs w:val="28"/>
              </w:rPr>
              <w:t>3.</w:t>
            </w:r>
          </w:p>
        </w:tc>
        <w:tc>
          <w:tcPr>
            <w:tcW w:w="6300" w:type="dxa"/>
          </w:tcPr>
          <w:p w14:paraId="68B7B3E9" w14:textId="223A20E0" w:rsidR="007D484F" w:rsidRPr="009F49B7" w:rsidRDefault="007D484F" w:rsidP="007D484F">
            <w:pPr>
              <w:autoSpaceDE w:val="0"/>
              <w:autoSpaceDN w:val="0"/>
              <w:adjustRightInd w:val="0"/>
              <w:contextualSpacing/>
              <w:rPr>
                <w:rFonts w:ascii="Verdana" w:hAnsi="Verdana" w:cstheme="majorHAnsi"/>
                <w:bCs/>
                <w:sz w:val="28"/>
                <w:szCs w:val="28"/>
              </w:rPr>
            </w:pPr>
            <w:r w:rsidRPr="0030342C">
              <w:rPr>
                <w:rFonts w:ascii="Verdana" w:hAnsi="Verdana" w:cs="Calibri Light"/>
                <w:bCs/>
                <w:sz w:val="28"/>
                <w:szCs w:val="28"/>
              </w:rPr>
              <w:t>Promot</w:t>
            </w:r>
            <w:r>
              <w:rPr>
                <w:rFonts w:ascii="Verdana" w:hAnsi="Verdana" w:cs="Calibri Light"/>
                <w:bCs/>
                <w:sz w:val="28"/>
                <w:szCs w:val="28"/>
              </w:rPr>
              <w:t xml:space="preserve">ion of </w:t>
            </w:r>
            <w:r w:rsidRPr="0030342C">
              <w:rPr>
                <w:rFonts w:ascii="Verdana" w:hAnsi="Verdana" w:cs="Calibri Light"/>
                <w:bCs/>
                <w:sz w:val="28"/>
                <w:szCs w:val="28"/>
              </w:rPr>
              <w:t>acceptance of conformity assessment results and equivalence of technical requirements related to equipment</w:t>
            </w:r>
            <w:r>
              <w:rPr>
                <w:rFonts w:ascii="Verdana" w:hAnsi="Verdana" w:cs="Calibri Light"/>
                <w:bCs/>
                <w:sz w:val="28"/>
                <w:szCs w:val="28"/>
              </w:rPr>
              <w:t xml:space="preserve"> through the work of CA&amp;MRA TF.</w:t>
            </w:r>
          </w:p>
        </w:tc>
        <w:tc>
          <w:tcPr>
            <w:tcW w:w="7740" w:type="dxa"/>
          </w:tcPr>
          <w:p w14:paraId="312C1E27" w14:textId="77777777" w:rsidR="007D484F" w:rsidRPr="00B27323" w:rsidRDefault="007D484F" w:rsidP="007D484F">
            <w:pPr>
              <w:pStyle w:val="ListParagraph"/>
              <w:widowControl w:val="0"/>
              <w:numPr>
                <w:ilvl w:val="0"/>
                <w:numId w:val="8"/>
              </w:numPr>
              <w:autoSpaceDE w:val="0"/>
              <w:autoSpaceDN w:val="0"/>
              <w:adjustRightInd w:val="0"/>
              <w:spacing w:after="0" w:line="240" w:lineRule="auto"/>
              <w:ind w:right="254"/>
              <w:contextualSpacing/>
              <w:rPr>
                <w:rFonts w:ascii="Verdana" w:eastAsia="Verdana" w:hAnsi="Verdana" w:cs="Verdana"/>
                <w:bCs/>
                <w:color w:val="323130"/>
                <w:sz w:val="28"/>
                <w:szCs w:val="28"/>
              </w:rPr>
            </w:pPr>
            <w:r w:rsidRPr="00285B6E">
              <w:rPr>
                <w:rFonts w:ascii="Verdana" w:eastAsia="Verdana" w:hAnsi="Verdana" w:cs="Verdana"/>
                <w:bCs/>
                <w:color w:val="323130"/>
                <w:sz w:val="28"/>
                <w:szCs w:val="28"/>
              </w:rPr>
              <w:t>Continued</w:t>
            </w:r>
            <w:r w:rsidRPr="00B27323">
              <w:rPr>
                <w:rFonts w:ascii="Verdana" w:eastAsia="Verdana" w:hAnsi="Verdana" w:cs="Verdana"/>
                <w:bCs/>
                <w:color w:val="323130"/>
                <w:sz w:val="28"/>
                <w:szCs w:val="28"/>
              </w:rPr>
              <w:t xml:space="preserve"> successful implementation and use of the MRA for CA, and </w:t>
            </w:r>
            <w:r w:rsidRPr="00285B6E">
              <w:rPr>
                <w:rFonts w:ascii="Verdana" w:eastAsia="Verdana" w:hAnsi="Verdana" w:cs="Verdana"/>
                <w:bCs/>
                <w:color w:val="323130"/>
                <w:sz w:val="28"/>
                <w:szCs w:val="28"/>
              </w:rPr>
              <w:t xml:space="preserve">encourage </w:t>
            </w:r>
            <w:r w:rsidRPr="00B27323">
              <w:rPr>
                <w:rFonts w:ascii="Verdana" w:eastAsia="Verdana" w:hAnsi="Verdana" w:cs="Verdana"/>
                <w:bCs/>
                <w:color w:val="323130"/>
                <w:sz w:val="28"/>
                <w:szCs w:val="28"/>
              </w:rPr>
              <w:t>use of the MRA for ETR.</w:t>
            </w:r>
          </w:p>
          <w:p w14:paraId="048D855B" w14:textId="77777777" w:rsidR="007D484F" w:rsidRDefault="007D484F" w:rsidP="007D484F">
            <w:pPr>
              <w:pStyle w:val="ListParagraph"/>
              <w:widowControl w:val="0"/>
              <w:numPr>
                <w:ilvl w:val="0"/>
                <w:numId w:val="8"/>
              </w:numPr>
              <w:autoSpaceDE w:val="0"/>
              <w:autoSpaceDN w:val="0"/>
              <w:adjustRightInd w:val="0"/>
              <w:spacing w:after="0" w:line="240" w:lineRule="auto"/>
              <w:ind w:right="254"/>
              <w:contextualSpacing/>
              <w:rPr>
                <w:rFonts w:ascii="Verdana" w:eastAsia="Verdana" w:hAnsi="Verdana" w:cs="Verdana"/>
                <w:bCs/>
                <w:color w:val="323130"/>
                <w:sz w:val="28"/>
                <w:szCs w:val="28"/>
              </w:rPr>
            </w:pPr>
            <w:r w:rsidRPr="00B27323">
              <w:rPr>
                <w:rFonts w:ascii="Verdana" w:eastAsia="Verdana" w:hAnsi="Verdana" w:cs="Verdana"/>
                <w:bCs/>
                <w:color w:val="323130"/>
                <w:sz w:val="28"/>
                <w:szCs w:val="28"/>
              </w:rPr>
              <w:t>Exchange information and best practices on regulatory, technical and administrative requirements of the APEC Member Economies’ conformity assessment schemes.</w:t>
            </w:r>
          </w:p>
          <w:p w14:paraId="4441969A" w14:textId="77777777" w:rsidR="007D484F" w:rsidRPr="00B27323" w:rsidRDefault="007D484F" w:rsidP="007D484F">
            <w:pPr>
              <w:pStyle w:val="ListParagraph"/>
              <w:widowControl w:val="0"/>
              <w:numPr>
                <w:ilvl w:val="0"/>
                <w:numId w:val="8"/>
              </w:numPr>
              <w:autoSpaceDE w:val="0"/>
              <w:autoSpaceDN w:val="0"/>
              <w:adjustRightInd w:val="0"/>
              <w:spacing w:after="0" w:line="240" w:lineRule="auto"/>
              <w:ind w:right="254"/>
              <w:contextualSpacing/>
              <w:rPr>
                <w:rFonts w:ascii="Verdana" w:eastAsia="Verdana" w:hAnsi="Verdana" w:cs="Verdana"/>
                <w:bCs/>
                <w:color w:val="323130"/>
                <w:sz w:val="28"/>
                <w:szCs w:val="28"/>
              </w:rPr>
            </w:pPr>
            <w:r w:rsidRPr="00B27323">
              <w:rPr>
                <w:rFonts w:ascii="Verdana" w:eastAsia="Verdana" w:hAnsi="Verdana" w:cs="Verdana"/>
                <w:bCs/>
                <w:color w:val="323130"/>
                <w:sz w:val="28"/>
                <w:szCs w:val="28"/>
              </w:rPr>
              <w:t xml:space="preserve">Deploy and maintain key TF publications.  </w:t>
            </w:r>
          </w:p>
          <w:p w14:paraId="6A7DE628" w14:textId="35C3060C" w:rsidR="007D484F" w:rsidRPr="00525BA8" w:rsidRDefault="007D484F" w:rsidP="007D484F">
            <w:pPr>
              <w:pStyle w:val="ListParagraph"/>
              <w:widowControl w:val="0"/>
              <w:autoSpaceDE w:val="0"/>
              <w:autoSpaceDN w:val="0"/>
              <w:adjustRightInd w:val="0"/>
              <w:spacing w:after="0" w:line="240" w:lineRule="auto"/>
              <w:ind w:left="360"/>
              <w:contextualSpacing/>
              <w:rPr>
                <w:rFonts w:ascii="Verdana" w:hAnsi="Verdana"/>
                <w:sz w:val="28"/>
                <w:szCs w:val="28"/>
                <w:lang w:eastAsia="ja-JP"/>
              </w:rPr>
            </w:pPr>
          </w:p>
        </w:tc>
      </w:tr>
      <w:tr w:rsidR="007D484F" w:rsidRPr="009F49B7" w14:paraId="7B042E8B" w14:textId="77777777" w:rsidTr="785B6C82">
        <w:trPr>
          <w:trHeight w:val="77"/>
        </w:trPr>
        <w:tc>
          <w:tcPr>
            <w:tcW w:w="985" w:type="dxa"/>
          </w:tcPr>
          <w:p w14:paraId="69431E4F" w14:textId="166A88BD" w:rsidR="007D484F" w:rsidRPr="007D484F" w:rsidRDefault="007D484F" w:rsidP="007D484F">
            <w:pPr>
              <w:jc w:val="center"/>
              <w:rPr>
                <w:rFonts w:ascii="Verdana" w:hAnsi="Verdana"/>
                <w:sz w:val="28"/>
                <w:szCs w:val="28"/>
              </w:rPr>
            </w:pPr>
            <w:r w:rsidRPr="007D484F">
              <w:rPr>
                <w:rFonts w:ascii="Verdana" w:hAnsi="Verdana"/>
                <w:sz w:val="28"/>
                <w:szCs w:val="28"/>
              </w:rPr>
              <w:t>4.</w:t>
            </w:r>
          </w:p>
        </w:tc>
        <w:tc>
          <w:tcPr>
            <w:tcW w:w="6300" w:type="dxa"/>
          </w:tcPr>
          <w:p w14:paraId="3314B22B" w14:textId="2F06F52F" w:rsidR="007D484F" w:rsidRPr="006C7C67" w:rsidRDefault="007D484F" w:rsidP="00532B0F">
            <w:pPr>
              <w:autoSpaceDE w:val="0"/>
              <w:autoSpaceDN w:val="0"/>
              <w:adjustRightInd w:val="0"/>
              <w:contextualSpacing/>
              <w:rPr>
                <w:rFonts w:ascii="Verdana" w:hAnsi="Verdana"/>
                <w:strike/>
                <w:sz w:val="28"/>
                <w:szCs w:val="28"/>
              </w:rPr>
            </w:pPr>
            <w:r w:rsidRPr="00B27323">
              <w:rPr>
                <w:rFonts w:ascii="Verdana" w:hAnsi="Verdana" w:cs="Calibri Light"/>
                <w:bCs/>
                <w:sz w:val="28"/>
                <w:szCs w:val="28"/>
              </w:rPr>
              <w:t xml:space="preserve">Conduct regular non-project </w:t>
            </w:r>
            <w:r w:rsidRPr="00110B77">
              <w:rPr>
                <w:rFonts w:ascii="Verdana" w:hAnsi="Verdana" w:cs="Calibri Light"/>
                <w:bCs/>
                <w:sz w:val="28"/>
                <w:szCs w:val="28"/>
              </w:rPr>
              <w:t>activities</w:t>
            </w:r>
            <w:r w:rsidRPr="00B27323">
              <w:rPr>
                <w:rFonts w:ascii="Verdana" w:hAnsi="Verdana" w:cs="Calibri Light"/>
                <w:bCs/>
                <w:sz w:val="28"/>
                <w:szCs w:val="28"/>
              </w:rPr>
              <w:t xml:space="preserve"> on information </w:t>
            </w:r>
            <w:r>
              <w:rPr>
                <w:rFonts w:ascii="Verdana" w:hAnsi="Verdana" w:cs="Calibri Light"/>
                <w:bCs/>
                <w:sz w:val="28"/>
                <w:szCs w:val="28"/>
              </w:rPr>
              <w:t xml:space="preserve">and best practices </w:t>
            </w:r>
            <w:r w:rsidRPr="00B27323">
              <w:rPr>
                <w:rFonts w:ascii="Verdana" w:hAnsi="Verdana" w:cs="Calibri Light"/>
                <w:bCs/>
                <w:sz w:val="28"/>
                <w:szCs w:val="28"/>
              </w:rPr>
              <w:t>sharing during the meetings</w:t>
            </w:r>
            <w:r>
              <w:rPr>
                <w:rFonts w:ascii="Verdana" w:hAnsi="Verdana" w:cs="Calibri Light"/>
                <w:bCs/>
                <w:sz w:val="28"/>
                <w:szCs w:val="28"/>
              </w:rPr>
              <w:t>.</w:t>
            </w:r>
          </w:p>
        </w:tc>
        <w:tc>
          <w:tcPr>
            <w:tcW w:w="7740" w:type="dxa"/>
          </w:tcPr>
          <w:p w14:paraId="3BE41784" w14:textId="401180D3" w:rsidR="007D484F" w:rsidRPr="00E54FE1" w:rsidRDefault="007D484F" w:rsidP="00854194">
            <w:pPr>
              <w:pStyle w:val="ListParagraph"/>
              <w:widowControl w:val="0"/>
              <w:numPr>
                <w:ilvl w:val="0"/>
                <w:numId w:val="9"/>
              </w:numPr>
              <w:autoSpaceDE w:val="0"/>
              <w:autoSpaceDN w:val="0"/>
              <w:adjustRightInd w:val="0"/>
              <w:spacing w:after="0" w:line="240" w:lineRule="auto"/>
              <w:ind w:left="335" w:right="254" w:hanging="335"/>
              <w:contextualSpacing/>
              <w:rPr>
                <w:rFonts w:ascii="Verdana" w:hAnsi="Verdana"/>
                <w:sz w:val="28"/>
                <w:szCs w:val="28"/>
              </w:rPr>
            </w:pPr>
            <w:r w:rsidRPr="00E54FE1">
              <w:rPr>
                <w:rFonts w:ascii="Verdana" w:hAnsi="Verdana"/>
                <w:sz w:val="28"/>
                <w:szCs w:val="28"/>
              </w:rPr>
              <w:t>Share regulatory updates on Digital Economy</w:t>
            </w:r>
            <w:r>
              <w:rPr>
                <w:rFonts w:ascii="Verdana" w:hAnsi="Verdana"/>
                <w:sz w:val="28"/>
                <w:szCs w:val="28"/>
              </w:rPr>
              <w:t xml:space="preserve"> ICT/telecommunications</w:t>
            </w:r>
            <w:r w:rsidRPr="00E54FE1">
              <w:rPr>
                <w:rFonts w:ascii="Verdana" w:hAnsi="Verdana"/>
                <w:sz w:val="28"/>
                <w:szCs w:val="28"/>
              </w:rPr>
              <w:t xml:space="preserve"> regulatory and policy issues</w:t>
            </w:r>
            <w:r>
              <w:rPr>
                <w:rFonts w:ascii="Verdana" w:hAnsi="Verdana"/>
                <w:sz w:val="28"/>
                <w:szCs w:val="28"/>
              </w:rPr>
              <w:t>.</w:t>
            </w:r>
            <w:r w:rsidRPr="00E54FE1">
              <w:rPr>
                <w:rFonts w:ascii="Verdana" w:hAnsi="Verdana"/>
                <w:sz w:val="28"/>
                <w:szCs w:val="28"/>
              </w:rPr>
              <w:t xml:space="preserve"> </w:t>
            </w:r>
          </w:p>
          <w:p w14:paraId="77CF7C70" w14:textId="77777777" w:rsidR="007D484F" w:rsidRDefault="007D484F" w:rsidP="00854194">
            <w:pPr>
              <w:pStyle w:val="ListParagraph"/>
              <w:widowControl w:val="0"/>
              <w:numPr>
                <w:ilvl w:val="0"/>
                <w:numId w:val="9"/>
              </w:numPr>
              <w:autoSpaceDE w:val="0"/>
              <w:autoSpaceDN w:val="0"/>
              <w:adjustRightInd w:val="0"/>
              <w:spacing w:after="0" w:line="240" w:lineRule="auto"/>
              <w:ind w:right="254" w:hanging="315"/>
              <w:contextualSpacing/>
              <w:rPr>
                <w:rFonts w:ascii="Verdana" w:hAnsi="Verdana"/>
                <w:sz w:val="28"/>
                <w:szCs w:val="28"/>
              </w:rPr>
            </w:pPr>
            <w:r w:rsidRPr="00B27323">
              <w:rPr>
                <w:rFonts w:ascii="Verdana" w:hAnsi="Verdana"/>
                <w:sz w:val="28"/>
                <w:szCs w:val="28"/>
              </w:rPr>
              <w:t>Share regulatory updates on spectrum management</w:t>
            </w:r>
            <w:r>
              <w:rPr>
                <w:rFonts w:ascii="Verdana" w:hAnsi="Verdana"/>
                <w:sz w:val="28"/>
                <w:szCs w:val="28"/>
              </w:rPr>
              <w:t>.</w:t>
            </w:r>
          </w:p>
          <w:p w14:paraId="3C03DB63" w14:textId="42BA1549" w:rsidR="007D484F" w:rsidRPr="00B72585" w:rsidRDefault="007D484F" w:rsidP="007D484F">
            <w:pPr>
              <w:pStyle w:val="ListParagraph"/>
              <w:widowControl w:val="0"/>
              <w:autoSpaceDE w:val="0"/>
              <w:autoSpaceDN w:val="0"/>
              <w:adjustRightInd w:val="0"/>
              <w:spacing w:after="0" w:line="240" w:lineRule="auto"/>
              <w:ind w:left="290" w:right="254"/>
              <w:contextualSpacing/>
              <w:rPr>
                <w:rFonts w:ascii="Verdana" w:hAnsi="Verdana"/>
                <w:sz w:val="28"/>
                <w:szCs w:val="28"/>
              </w:rPr>
            </w:pPr>
          </w:p>
        </w:tc>
      </w:tr>
    </w:tbl>
    <w:p w14:paraId="0CD4F003" w14:textId="77777777" w:rsidR="009E68D0" w:rsidRPr="009F49B7" w:rsidRDefault="009E68D0" w:rsidP="009E68D0">
      <w:pPr>
        <w:jc w:val="both"/>
        <w:rPr>
          <w:rFonts w:ascii="Verdana" w:hAnsi="Verdana" w:cstheme="majorHAnsi"/>
          <w:b/>
          <w:sz w:val="28"/>
          <w:szCs w:val="28"/>
          <w:lang w:val="en-NZ"/>
        </w:rPr>
      </w:pPr>
    </w:p>
    <w:p w14:paraId="60085DC2" w14:textId="77777777" w:rsidR="009E68D0" w:rsidRPr="009F49B7" w:rsidRDefault="009E68D0" w:rsidP="009E68D0">
      <w:pPr>
        <w:pStyle w:val="BodyA"/>
        <w:widowControl w:val="0"/>
        <w:spacing w:after="0" w:line="240" w:lineRule="auto"/>
        <w:ind w:left="720"/>
        <w:jc w:val="both"/>
        <w:rPr>
          <w:rFonts w:ascii="Verdana" w:hAnsi="Verdana"/>
          <w:kern w:val="2"/>
          <w:sz w:val="28"/>
          <w:szCs w:val="28"/>
          <w:shd w:val="clear" w:color="auto" w:fill="FFFF00"/>
          <w:lang w:val="en-US"/>
        </w:rPr>
      </w:pPr>
    </w:p>
    <w:p w14:paraId="3C01BDEF" w14:textId="7AF9BA3B" w:rsidR="009E68D0" w:rsidRPr="009F49B7" w:rsidRDefault="009E68D0" w:rsidP="009E68D0">
      <w:pPr>
        <w:rPr>
          <w:sz w:val="28"/>
          <w:szCs w:val="28"/>
        </w:rPr>
      </w:pPr>
    </w:p>
    <w:tbl>
      <w:tblPr>
        <w:tblStyle w:val="TableGrid"/>
        <w:tblW w:w="14485" w:type="dxa"/>
        <w:tblLayout w:type="fixed"/>
        <w:tblLook w:val="04A0" w:firstRow="1" w:lastRow="0" w:firstColumn="1" w:lastColumn="0" w:noHBand="0" w:noVBand="1"/>
      </w:tblPr>
      <w:tblGrid>
        <w:gridCol w:w="985"/>
        <w:gridCol w:w="6300"/>
        <w:gridCol w:w="7200"/>
      </w:tblGrid>
      <w:tr w:rsidR="00DA1EDF" w:rsidRPr="009F49B7" w14:paraId="10E81581" w14:textId="77777777" w:rsidTr="00815BE8">
        <w:trPr>
          <w:tblHeader/>
        </w:trPr>
        <w:tc>
          <w:tcPr>
            <w:tcW w:w="14485" w:type="dxa"/>
            <w:gridSpan w:val="3"/>
            <w:shd w:val="clear" w:color="auto" w:fill="0D0D0D" w:themeFill="text1" w:themeFillTint="F2"/>
          </w:tcPr>
          <w:p w14:paraId="1C1947E6" w14:textId="74B911DE" w:rsidR="00DA1EDF" w:rsidRPr="00CE165D" w:rsidRDefault="00DA1EDF" w:rsidP="005846D7">
            <w:pPr>
              <w:autoSpaceDE w:val="0"/>
              <w:autoSpaceDN w:val="0"/>
              <w:adjustRightInd w:val="0"/>
              <w:contextualSpacing/>
              <w:jc w:val="both"/>
              <w:rPr>
                <w:rFonts w:ascii="Verdana" w:hAnsi="Verdana" w:cstheme="majorHAnsi"/>
                <w:b/>
                <w:bCs/>
                <w:sz w:val="28"/>
                <w:szCs w:val="28"/>
                <w:lang w:val="en-NZ"/>
              </w:rPr>
            </w:pPr>
            <w:r>
              <w:rPr>
                <w:rFonts w:ascii="Verdana" w:hAnsi="Verdana"/>
                <w:b/>
                <w:sz w:val="28"/>
                <w:szCs w:val="28"/>
              </w:rPr>
              <w:t>ICT Development Steering Group (DSG)</w:t>
            </w:r>
          </w:p>
        </w:tc>
      </w:tr>
      <w:tr w:rsidR="009E68D0" w:rsidRPr="009F49B7" w14:paraId="74B6DEEA" w14:textId="77777777" w:rsidTr="000D1C0D">
        <w:trPr>
          <w:trHeight w:val="1227"/>
        </w:trPr>
        <w:tc>
          <w:tcPr>
            <w:tcW w:w="14485" w:type="dxa"/>
            <w:gridSpan w:val="3"/>
            <w:shd w:val="clear" w:color="auto" w:fill="DEEAF6" w:themeFill="accent1" w:themeFillTint="33"/>
          </w:tcPr>
          <w:p w14:paraId="2D813E60" w14:textId="77777777" w:rsidR="00EB6CEA" w:rsidRDefault="00EB6CEA" w:rsidP="00C20C33">
            <w:pPr>
              <w:pStyle w:val="BodyA"/>
              <w:widowControl w:val="0"/>
              <w:spacing w:after="0" w:line="240" w:lineRule="auto"/>
              <w:ind w:right="254"/>
              <w:jc w:val="both"/>
              <w:rPr>
                <w:rFonts w:ascii="Verdana" w:hAnsi="Verdana"/>
                <w:sz w:val="28"/>
                <w:szCs w:val="28"/>
                <w:lang w:val="en-US"/>
              </w:rPr>
            </w:pPr>
          </w:p>
          <w:p w14:paraId="00165B3D" w14:textId="596A624B" w:rsidR="009E68D0" w:rsidRPr="00C672CB" w:rsidRDefault="3B02D214" w:rsidP="00C672CB">
            <w:pPr>
              <w:pStyle w:val="BodyA"/>
              <w:widowControl w:val="0"/>
              <w:spacing w:after="0" w:line="240" w:lineRule="auto"/>
              <w:ind w:right="254"/>
              <w:jc w:val="both"/>
              <w:rPr>
                <w:rFonts w:ascii="Verdana" w:hAnsi="Verdana"/>
                <w:sz w:val="28"/>
                <w:szCs w:val="28"/>
                <w:lang w:val="en-US"/>
              </w:rPr>
            </w:pPr>
            <w:r w:rsidRPr="00FD33E9">
              <w:rPr>
                <w:rFonts w:ascii="Verdana" w:hAnsi="Verdana"/>
                <w:color w:val="auto"/>
                <w:sz w:val="28"/>
                <w:szCs w:val="28"/>
                <w:lang w:val="en-US"/>
              </w:rPr>
              <w:t xml:space="preserve">The Development Steering Group (DSG) is a forum for knowledge sharing and capacity building for </w:t>
            </w:r>
            <w:r w:rsidR="7A5F0D1C" w:rsidRPr="00FD33E9">
              <w:rPr>
                <w:rFonts w:ascii="Verdana" w:hAnsi="Verdana"/>
                <w:color w:val="auto"/>
                <w:sz w:val="28"/>
                <w:szCs w:val="28"/>
                <w:lang w:val="en-US"/>
              </w:rPr>
              <w:t xml:space="preserve">deploying </w:t>
            </w:r>
            <w:r w:rsidR="10F68DA6" w:rsidRPr="00FD33E9">
              <w:rPr>
                <w:rFonts w:ascii="Verdana" w:hAnsi="Verdana"/>
                <w:color w:val="auto"/>
                <w:sz w:val="28"/>
                <w:szCs w:val="28"/>
                <w:lang w:val="en-US"/>
              </w:rPr>
              <w:t>telecommunications/</w:t>
            </w:r>
            <w:r w:rsidR="0098476A" w:rsidRPr="00FD33E9">
              <w:rPr>
                <w:rFonts w:ascii="Verdana" w:hAnsi="Verdana"/>
                <w:color w:val="auto"/>
                <w:sz w:val="28"/>
                <w:szCs w:val="28"/>
                <w:lang w:val="en-US"/>
              </w:rPr>
              <w:t xml:space="preserve"> </w:t>
            </w:r>
            <w:r w:rsidR="7A5F0D1C" w:rsidRPr="00FD33E9">
              <w:rPr>
                <w:rFonts w:ascii="Verdana" w:hAnsi="Verdana"/>
                <w:color w:val="auto"/>
                <w:sz w:val="28"/>
                <w:szCs w:val="28"/>
                <w:lang w:val="en-US"/>
              </w:rPr>
              <w:t>ICT infrastructure, services and applications</w:t>
            </w:r>
            <w:r w:rsidR="510A4CF6" w:rsidRPr="00FD33E9">
              <w:rPr>
                <w:rFonts w:ascii="Verdana" w:hAnsi="Verdana"/>
                <w:color w:val="auto"/>
                <w:sz w:val="28"/>
                <w:szCs w:val="28"/>
                <w:lang w:val="en-US"/>
              </w:rPr>
              <w:t xml:space="preserve"> with the aim of bridging the digital divide</w:t>
            </w:r>
            <w:r w:rsidR="00635441">
              <w:rPr>
                <w:rFonts w:ascii="Verdana" w:hAnsi="Verdana"/>
                <w:color w:val="auto"/>
                <w:sz w:val="28"/>
                <w:szCs w:val="28"/>
                <w:lang w:val="en-US"/>
              </w:rPr>
              <w:t>,</w:t>
            </w:r>
            <w:r w:rsidR="510A4CF6" w:rsidRPr="00FD33E9">
              <w:rPr>
                <w:rFonts w:ascii="Verdana" w:hAnsi="Verdana"/>
                <w:color w:val="auto"/>
                <w:sz w:val="28"/>
                <w:szCs w:val="28"/>
                <w:lang w:val="en-US"/>
              </w:rPr>
              <w:t xml:space="preserve"> and </w:t>
            </w:r>
            <w:r w:rsidR="2DCB4066" w:rsidRPr="00FD33E9">
              <w:rPr>
                <w:rFonts w:ascii="Verdana" w:hAnsi="Verdana"/>
                <w:color w:val="auto"/>
                <w:sz w:val="28"/>
                <w:szCs w:val="28"/>
                <w:lang w:val="en-US"/>
              </w:rPr>
              <w:t xml:space="preserve">preparing </w:t>
            </w:r>
            <w:r w:rsidR="00634884" w:rsidRPr="00FD33E9">
              <w:rPr>
                <w:rFonts w:ascii="Verdana" w:hAnsi="Verdana"/>
                <w:color w:val="auto"/>
                <w:sz w:val="28"/>
                <w:szCs w:val="28"/>
                <w:lang w:val="en-US"/>
              </w:rPr>
              <w:t>member</w:t>
            </w:r>
            <w:r w:rsidR="2DCB4066" w:rsidRPr="00FD33E9">
              <w:rPr>
                <w:rFonts w:ascii="Verdana" w:hAnsi="Verdana"/>
                <w:color w:val="auto"/>
                <w:sz w:val="28"/>
                <w:szCs w:val="28"/>
                <w:lang w:val="en-US"/>
              </w:rPr>
              <w:t xml:space="preserve"> economies and societies to b</w:t>
            </w:r>
            <w:r w:rsidR="510A4CF6" w:rsidRPr="00FD33E9">
              <w:rPr>
                <w:rFonts w:ascii="Verdana" w:hAnsi="Verdana"/>
                <w:color w:val="auto"/>
                <w:sz w:val="28"/>
                <w:szCs w:val="28"/>
                <w:lang w:val="en-US"/>
              </w:rPr>
              <w:t>enefit</w:t>
            </w:r>
            <w:r w:rsidR="558D1541" w:rsidRPr="00FD33E9">
              <w:rPr>
                <w:rFonts w:ascii="Verdana" w:hAnsi="Verdana"/>
                <w:color w:val="auto"/>
                <w:sz w:val="28"/>
                <w:szCs w:val="28"/>
                <w:lang w:val="en-US"/>
              </w:rPr>
              <w:t xml:space="preserve"> sustainably</w:t>
            </w:r>
            <w:r w:rsidR="510A4CF6" w:rsidRPr="00FD33E9">
              <w:rPr>
                <w:rFonts w:ascii="Verdana" w:hAnsi="Verdana"/>
                <w:color w:val="auto"/>
                <w:sz w:val="28"/>
                <w:szCs w:val="28"/>
                <w:lang w:val="en-US"/>
              </w:rPr>
              <w:t xml:space="preserve"> </w:t>
            </w:r>
            <w:r w:rsidR="4D23CE5A" w:rsidRPr="00FD33E9">
              <w:rPr>
                <w:rFonts w:ascii="Verdana" w:hAnsi="Verdana"/>
                <w:color w:val="auto"/>
                <w:sz w:val="28"/>
                <w:szCs w:val="28"/>
                <w:lang w:val="en-US"/>
              </w:rPr>
              <w:t>from</w:t>
            </w:r>
            <w:r w:rsidR="510A4CF6" w:rsidRPr="00FD33E9">
              <w:rPr>
                <w:rFonts w:ascii="Verdana" w:hAnsi="Verdana"/>
                <w:color w:val="auto"/>
                <w:sz w:val="28"/>
                <w:szCs w:val="28"/>
                <w:lang w:val="en-US"/>
              </w:rPr>
              <w:t xml:space="preserve"> the Internet</w:t>
            </w:r>
            <w:r w:rsidR="2B32C3A5" w:rsidRPr="00FD33E9">
              <w:rPr>
                <w:rFonts w:ascii="Verdana" w:hAnsi="Verdana"/>
                <w:color w:val="auto"/>
                <w:sz w:val="28"/>
                <w:szCs w:val="28"/>
                <w:lang w:val="en-US"/>
              </w:rPr>
              <w:t xml:space="preserve"> and digital economy</w:t>
            </w:r>
            <w:r w:rsidR="510A4CF6" w:rsidRPr="00FD33E9">
              <w:rPr>
                <w:rFonts w:ascii="Verdana" w:hAnsi="Verdana"/>
                <w:color w:val="auto"/>
                <w:sz w:val="28"/>
                <w:szCs w:val="28"/>
                <w:lang w:val="en-US"/>
              </w:rPr>
              <w:t xml:space="preserve">.  </w:t>
            </w:r>
          </w:p>
        </w:tc>
      </w:tr>
      <w:tr w:rsidR="009E68D0" w:rsidRPr="009F49B7" w14:paraId="17F139C2" w14:textId="77777777" w:rsidTr="000D1C0D">
        <w:tc>
          <w:tcPr>
            <w:tcW w:w="985" w:type="dxa"/>
            <w:shd w:val="clear" w:color="auto" w:fill="FFE599" w:themeFill="accent4" w:themeFillTint="66"/>
          </w:tcPr>
          <w:p w14:paraId="2692BA36" w14:textId="77777777" w:rsidR="009E68D0" w:rsidRPr="009F49B7" w:rsidRDefault="009E68D0" w:rsidP="009E68D0">
            <w:pPr>
              <w:jc w:val="center"/>
              <w:rPr>
                <w:rFonts w:ascii="Verdana" w:hAnsi="Verdana"/>
                <w:b/>
                <w:sz w:val="28"/>
                <w:szCs w:val="28"/>
              </w:rPr>
            </w:pPr>
            <w:r w:rsidRPr="009F49B7">
              <w:rPr>
                <w:rFonts w:ascii="Verdana" w:hAnsi="Verdana"/>
                <w:b/>
                <w:sz w:val="28"/>
                <w:szCs w:val="28"/>
              </w:rPr>
              <w:t>No.</w:t>
            </w:r>
          </w:p>
        </w:tc>
        <w:tc>
          <w:tcPr>
            <w:tcW w:w="6300" w:type="dxa"/>
            <w:shd w:val="clear" w:color="auto" w:fill="FFE599" w:themeFill="accent4" w:themeFillTint="66"/>
          </w:tcPr>
          <w:p w14:paraId="65FE6CD3" w14:textId="77777777" w:rsidR="009E68D0" w:rsidRPr="009F49B7" w:rsidRDefault="009E68D0" w:rsidP="009E68D0">
            <w:pPr>
              <w:autoSpaceDE w:val="0"/>
              <w:autoSpaceDN w:val="0"/>
              <w:adjustRightInd w:val="0"/>
              <w:contextualSpacing/>
              <w:jc w:val="center"/>
              <w:rPr>
                <w:rFonts w:ascii="Verdana" w:hAnsi="Verdana" w:cstheme="majorHAnsi"/>
                <w:b/>
                <w:bCs/>
                <w:sz w:val="28"/>
                <w:szCs w:val="28"/>
                <w:lang w:val="en-NZ"/>
              </w:rPr>
            </w:pPr>
            <w:r w:rsidRPr="009F49B7">
              <w:rPr>
                <w:rFonts w:ascii="Verdana" w:hAnsi="Verdana"/>
                <w:b/>
                <w:sz w:val="28"/>
                <w:szCs w:val="28"/>
              </w:rPr>
              <w:t>Objectives</w:t>
            </w:r>
          </w:p>
        </w:tc>
        <w:tc>
          <w:tcPr>
            <w:tcW w:w="7200" w:type="dxa"/>
            <w:shd w:val="clear" w:color="auto" w:fill="FFE599" w:themeFill="accent4" w:themeFillTint="66"/>
          </w:tcPr>
          <w:p w14:paraId="6CA1D83B" w14:textId="77777777" w:rsidR="009E68D0" w:rsidRPr="009F49B7" w:rsidRDefault="009E68D0" w:rsidP="009E68D0">
            <w:pPr>
              <w:autoSpaceDE w:val="0"/>
              <w:autoSpaceDN w:val="0"/>
              <w:adjustRightInd w:val="0"/>
              <w:contextualSpacing/>
              <w:jc w:val="center"/>
              <w:rPr>
                <w:rFonts w:ascii="Verdana" w:hAnsi="Verdana" w:cstheme="majorHAnsi"/>
                <w:b/>
                <w:bCs/>
                <w:sz w:val="28"/>
                <w:szCs w:val="28"/>
                <w:lang w:val="en-NZ"/>
              </w:rPr>
            </w:pPr>
            <w:r w:rsidRPr="009F49B7">
              <w:rPr>
                <w:rFonts w:ascii="Verdana" w:hAnsi="Verdana"/>
                <w:b/>
                <w:sz w:val="28"/>
                <w:szCs w:val="28"/>
              </w:rPr>
              <w:t>Actions</w:t>
            </w:r>
          </w:p>
        </w:tc>
      </w:tr>
      <w:tr w:rsidR="0014126C" w:rsidRPr="009F49B7" w14:paraId="05C3F1E6" w14:textId="77777777" w:rsidTr="000D1C0D">
        <w:trPr>
          <w:trHeight w:val="77"/>
        </w:trPr>
        <w:tc>
          <w:tcPr>
            <w:tcW w:w="985" w:type="dxa"/>
          </w:tcPr>
          <w:p w14:paraId="1C4197BA" w14:textId="7204B196" w:rsidR="0014126C" w:rsidRPr="009F49B7" w:rsidRDefault="0014126C" w:rsidP="0014126C">
            <w:pPr>
              <w:jc w:val="center"/>
              <w:rPr>
                <w:rFonts w:ascii="Verdana" w:hAnsi="Verdana"/>
                <w:b/>
                <w:sz w:val="28"/>
                <w:szCs w:val="28"/>
              </w:rPr>
            </w:pPr>
            <w:r>
              <w:rPr>
                <w:rFonts w:ascii="Verdana" w:hAnsi="Verdana" w:cstheme="majorHAnsi"/>
                <w:bCs/>
                <w:sz w:val="28"/>
                <w:szCs w:val="28"/>
              </w:rPr>
              <w:t>1.</w:t>
            </w:r>
          </w:p>
        </w:tc>
        <w:tc>
          <w:tcPr>
            <w:tcW w:w="6300" w:type="dxa"/>
          </w:tcPr>
          <w:p w14:paraId="65A4A541" w14:textId="77777777" w:rsidR="0014126C" w:rsidRDefault="0014126C" w:rsidP="0014126C">
            <w:pPr>
              <w:autoSpaceDE w:val="0"/>
              <w:autoSpaceDN w:val="0"/>
              <w:adjustRightInd w:val="0"/>
              <w:contextualSpacing/>
              <w:rPr>
                <w:rFonts w:ascii="Verdana" w:hAnsi="Verdana"/>
                <w:sz w:val="28"/>
                <w:szCs w:val="28"/>
              </w:rPr>
            </w:pPr>
            <w:r>
              <w:rPr>
                <w:rFonts w:ascii="Verdana" w:hAnsi="Verdana"/>
                <w:sz w:val="28"/>
                <w:szCs w:val="28"/>
              </w:rPr>
              <w:t>Promotion of the</w:t>
            </w:r>
            <w:r w:rsidRPr="785B6C82">
              <w:rPr>
                <w:rFonts w:ascii="Verdana" w:hAnsi="Verdana"/>
                <w:sz w:val="28"/>
                <w:szCs w:val="28"/>
              </w:rPr>
              <w:t xml:space="preserve"> deployment of telecommunications/</w:t>
            </w:r>
            <w:r>
              <w:rPr>
                <w:rFonts w:ascii="Verdana" w:hAnsi="Verdana"/>
                <w:sz w:val="28"/>
                <w:szCs w:val="28"/>
              </w:rPr>
              <w:t xml:space="preserve"> </w:t>
            </w:r>
            <w:r w:rsidRPr="785B6C82">
              <w:rPr>
                <w:rFonts w:ascii="Verdana" w:hAnsi="Verdana"/>
                <w:sz w:val="28"/>
                <w:szCs w:val="28"/>
              </w:rPr>
              <w:t>ICT infrastructure</w:t>
            </w:r>
            <w:r>
              <w:rPr>
                <w:rFonts w:ascii="Verdana" w:hAnsi="Verdana"/>
                <w:sz w:val="28"/>
                <w:szCs w:val="28"/>
              </w:rPr>
              <w:t xml:space="preserve"> </w:t>
            </w:r>
            <w:r w:rsidRPr="0031600F">
              <w:rPr>
                <w:rFonts w:ascii="Verdana" w:hAnsi="Verdana"/>
                <w:sz w:val="28"/>
                <w:szCs w:val="28"/>
              </w:rPr>
              <w:t>and adoption of emerging</w:t>
            </w:r>
            <w:r>
              <w:rPr>
                <w:rFonts w:ascii="Verdana" w:hAnsi="Verdana"/>
                <w:sz w:val="28"/>
                <w:szCs w:val="28"/>
              </w:rPr>
              <w:t xml:space="preserve"> digital</w:t>
            </w:r>
            <w:r w:rsidRPr="0031600F">
              <w:rPr>
                <w:rFonts w:ascii="Verdana" w:hAnsi="Verdana"/>
                <w:sz w:val="28"/>
                <w:szCs w:val="28"/>
              </w:rPr>
              <w:t xml:space="preserve"> technolog</w:t>
            </w:r>
            <w:r>
              <w:rPr>
                <w:rFonts w:ascii="Verdana" w:hAnsi="Verdana"/>
                <w:sz w:val="28"/>
                <w:szCs w:val="28"/>
              </w:rPr>
              <w:t>ies to support</w:t>
            </w:r>
            <w:r w:rsidRPr="785B6C82">
              <w:rPr>
                <w:rFonts w:ascii="Verdana" w:hAnsi="Verdana"/>
                <w:sz w:val="28"/>
                <w:szCs w:val="28"/>
              </w:rPr>
              <w:t xml:space="preserve"> increase</w:t>
            </w:r>
            <w:r>
              <w:rPr>
                <w:rFonts w:ascii="Verdana" w:hAnsi="Verdana"/>
                <w:sz w:val="28"/>
                <w:szCs w:val="28"/>
              </w:rPr>
              <w:t>d</w:t>
            </w:r>
            <w:r w:rsidRPr="785B6C82">
              <w:rPr>
                <w:rFonts w:ascii="Verdana" w:hAnsi="Verdana"/>
                <w:sz w:val="28"/>
                <w:szCs w:val="28"/>
              </w:rPr>
              <w:t xml:space="preserve"> access to broadband and ICT services across the APEC region</w:t>
            </w:r>
            <w:r>
              <w:rPr>
                <w:rFonts w:ascii="Verdana" w:hAnsi="Verdana"/>
                <w:sz w:val="28"/>
                <w:szCs w:val="28"/>
              </w:rPr>
              <w:t>.</w:t>
            </w:r>
            <w:r w:rsidRPr="00907ED7">
              <w:rPr>
                <w:rFonts w:ascii="Verdana" w:hAnsi="Verdana"/>
                <w:sz w:val="28"/>
                <w:szCs w:val="28"/>
              </w:rPr>
              <w:t xml:space="preserve"> </w:t>
            </w:r>
          </w:p>
          <w:p w14:paraId="78649423" w14:textId="77777777" w:rsidR="0014126C" w:rsidRDefault="0014126C" w:rsidP="0014126C">
            <w:pPr>
              <w:autoSpaceDE w:val="0"/>
              <w:autoSpaceDN w:val="0"/>
              <w:adjustRightInd w:val="0"/>
              <w:contextualSpacing/>
              <w:rPr>
                <w:rFonts w:ascii="Verdana" w:hAnsi="Verdana"/>
                <w:sz w:val="28"/>
                <w:szCs w:val="28"/>
              </w:rPr>
            </w:pPr>
          </w:p>
          <w:p w14:paraId="459407A3" w14:textId="77777777" w:rsidR="0014126C" w:rsidRPr="00907ED7" w:rsidRDefault="0014126C" w:rsidP="0014126C">
            <w:pPr>
              <w:autoSpaceDE w:val="0"/>
              <w:autoSpaceDN w:val="0"/>
              <w:adjustRightInd w:val="0"/>
              <w:contextualSpacing/>
              <w:rPr>
                <w:rFonts w:ascii="Verdana" w:hAnsi="Verdana"/>
                <w:sz w:val="28"/>
                <w:szCs w:val="28"/>
              </w:rPr>
            </w:pPr>
          </w:p>
          <w:p w14:paraId="5AF5DB0B" w14:textId="77777777" w:rsidR="0014126C" w:rsidRPr="00907ED7" w:rsidRDefault="0014126C" w:rsidP="0014126C">
            <w:pPr>
              <w:autoSpaceDE w:val="0"/>
              <w:autoSpaceDN w:val="0"/>
              <w:adjustRightInd w:val="0"/>
              <w:contextualSpacing/>
              <w:rPr>
                <w:rFonts w:ascii="Verdana" w:hAnsi="Verdana"/>
                <w:sz w:val="28"/>
                <w:szCs w:val="28"/>
              </w:rPr>
            </w:pPr>
            <w:r w:rsidRPr="785B6C82">
              <w:rPr>
                <w:rFonts w:ascii="Verdana" w:hAnsi="Verdana"/>
                <w:sz w:val="28"/>
                <w:szCs w:val="28"/>
              </w:rPr>
              <w:t xml:space="preserve">  </w:t>
            </w:r>
          </w:p>
          <w:p w14:paraId="24E1253E" w14:textId="77777777" w:rsidR="0014126C" w:rsidRPr="00907ED7" w:rsidRDefault="0014126C" w:rsidP="0014126C">
            <w:pPr>
              <w:autoSpaceDE w:val="0"/>
              <w:autoSpaceDN w:val="0"/>
              <w:adjustRightInd w:val="0"/>
              <w:contextualSpacing/>
              <w:rPr>
                <w:rFonts w:ascii="Verdana" w:hAnsi="Verdana"/>
                <w:sz w:val="28"/>
                <w:szCs w:val="28"/>
              </w:rPr>
            </w:pPr>
          </w:p>
          <w:p w14:paraId="3B8254F8" w14:textId="50FF7D93" w:rsidR="0014126C" w:rsidRPr="00AC2612" w:rsidRDefault="0014126C" w:rsidP="0014126C">
            <w:pPr>
              <w:pStyle w:val="ListParagraph"/>
              <w:autoSpaceDE w:val="0"/>
              <w:autoSpaceDN w:val="0"/>
              <w:adjustRightInd w:val="0"/>
              <w:ind w:left="360"/>
              <w:rPr>
                <w:rFonts w:ascii="Verdana" w:hAnsi="Verdana"/>
                <w:sz w:val="28"/>
                <w:szCs w:val="28"/>
                <w:lang w:eastAsia="ja-JP"/>
              </w:rPr>
            </w:pPr>
            <w:r w:rsidRPr="00907ED7">
              <w:rPr>
                <w:rFonts w:ascii="Verdana" w:hAnsi="Verdana"/>
                <w:sz w:val="28"/>
                <w:szCs w:val="28"/>
              </w:rPr>
              <w:t xml:space="preserve"> </w:t>
            </w:r>
          </w:p>
        </w:tc>
        <w:tc>
          <w:tcPr>
            <w:tcW w:w="7200" w:type="dxa"/>
          </w:tcPr>
          <w:p w14:paraId="32F4E30F" w14:textId="77777777" w:rsidR="0014126C" w:rsidRPr="009A08E4" w:rsidRDefault="0014126C" w:rsidP="0014126C">
            <w:pPr>
              <w:pStyle w:val="ListParagraph"/>
              <w:numPr>
                <w:ilvl w:val="0"/>
                <w:numId w:val="12"/>
              </w:numPr>
              <w:autoSpaceDE w:val="0"/>
              <w:autoSpaceDN w:val="0"/>
              <w:adjustRightInd w:val="0"/>
              <w:spacing w:after="0" w:line="240" w:lineRule="auto"/>
              <w:contextualSpacing/>
              <w:rPr>
                <w:rFonts w:ascii="Verdana" w:hAnsi="Verdana"/>
                <w:sz w:val="28"/>
                <w:szCs w:val="28"/>
                <w:lang w:eastAsia="ja-JP"/>
              </w:rPr>
            </w:pPr>
            <w:r>
              <w:rPr>
                <w:rFonts w:ascii="Verdana" w:hAnsi="Verdana"/>
                <w:sz w:val="28"/>
                <w:szCs w:val="28"/>
                <w:lang w:eastAsia="ja-JP"/>
              </w:rPr>
              <w:t>Exchange</w:t>
            </w:r>
            <w:r w:rsidRPr="009A08E4">
              <w:rPr>
                <w:rFonts w:ascii="Verdana" w:hAnsi="Verdana"/>
                <w:sz w:val="28"/>
                <w:szCs w:val="28"/>
                <w:lang w:eastAsia="ja-JP"/>
              </w:rPr>
              <w:t xml:space="preserve"> information and approaches to improve the </w:t>
            </w:r>
            <w:r w:rsidRPr="00DF0B07">
              <w:rPr>
                <w:rFonts w:ascii="Verdana" w:hAnsi="Verdana"/>
                <w:sz w:val="28"/>
                <w:szCs w:val="28"/>
                <w:lang w:eastAsia="ja-JP"/>
              </w:rPr>
              <w:t>quality of broadband</w:t>
            </w:r>
            <w:r w:rsidRPr="009A08E4">
              <w:rPr>
                <w:rFonts w:ascii="Verdana" w:hAnsi="Verdana"/>
                <w:sz w:val="28"/>
                <w:szCs w:val="28"/>
                <w:lang w:eastAsia="ja-JP"/>
              </w:rPr>
              <w:t>.</w:t>
            </w:r>
          </w:p>
          <w:p w14:paraId="77B78AF7" w14:textId="77777777" w:rsidR="0014126C" w:rsidRPr="00635441" w:rsidRDefault="0014126C" w:rsidP="0014126C">
            <w:pPr>
              <w:pStyle w:val="ListParagraph"/>
              <w:numPr>
                <w:ilvl w:val="0"/>
                <w:numId w:val="12"/>
              </w:numPr>
              <w:spacing w:after="0" w:line="240" w:lineRule="auto"/>
              <w:rPr>
                <w:rFonts w:asciiTheme="minorHAnsi" w:eastAsiaTheme="minorEastAsia" w:hAnsiTheme="minorHAnsi" w:cstheme="minorBidi"/>
                <w:color w:val="000000" w:themeColor="text1"/>
                <w:sz w:val="28"/>
                <w:szCs w:val="28"/>
              </w:rPr>
            </w:pPr>
            <w:r>
              <w:rPr>
                <w:rFonts w:ascii="Verdana" w:hAnsi="Verdana"/>
                <w:sz w:val="28"/>
                <w:szCs w:val="28"/>
                <w:lang w:eastAsia="ja-JP"/>
              </w:rPr>
              <w:t xml:space="preserve">Exchange information and share best practices on the </w:t>
            </w:r>
            <w:r w:rsidRPr="00DF0B07">
              <w:rPr>
                <w:rFonts w:ascii="Verdana" w:hAnsi="Verdana"/>
                <w:sz w:val="28"/>
                <w:szCs w:val="28"/>
                <w:lang w:eastAsia="ja-JP"/>
              </w:rPr>
              <w:t xml:space="preserve">deployment of </w:t>
            </w:r>
            <w:r w:rsidRPr="00B62629">
              <w:rPr>
                <w:rFonts w:ascii="Verdana" w:hAnsi="Verdana"/>
                <w:sz w:val="28"/>
                <w:szCs w:val="28"/>
                <w:lang w:eastAsia="ja-JP"/>
              </w:rPr>
              <w:t>alternative solutions</w:t>
            </w:r>
            <w:r w:rsidRPr="00C465C8">
              <w:rPr>
                <w:rFonts w:ascii="Verdana" w:hAnsi="Verdana"/>
                <w:sz w:val="28"/>
                <w:szCs w:val="28"/>
                <w:lang w:eastAsia="ja-JP"/>
              </w:rPr>
              <w:t xml:space="preserve"> to provide access to the underserved groups and those in hard-to-reach locations such as satellite, high-altitude balloons, small-cell deployments, and other technologies.</w:t>
            </w:r>
            <w:r>
              <w:rPr>
                <w:rFonts w:ascii="Verdana" w:eastAsia="Verdana" w:hAnsi="Verdana" w:cs="Verdana"/>
                <w:sz w:val="28"/>
                <w:szCs w:val="28"/>
              </w:rPr>
              <w:t xml:space="preserve"> </w:t>
            </w:r>
          </w:p>
          <w:p w14:paraId="575B21BC" w14:textId="77777777" w:rsidR="0014126C" w:rsidRPr="000D1C0D" w:rsidRDefault="0014126C" w:rsidP="0014126C">
            <w:pPr>
              <w:pStyle w:val="ListParagraph"/>
              <w:numPr>
                <w:ilvl w:val="0"/>
                <w:numId w:val="12"/>
              </w:numPr>
              <w:spacing w:after="0" w:line="240" w:lineRule="auto"/>
              <w:rPr>
                <w:rFonts w:asciiTheme="minorHAnsi" w:eastAsiaTheme="minorEastAsia" w:hAnsiTheme="minorHAnsi" w:cstheme="minorBidi"/>
                <w:color w:val="000000" w:themeColor="text1"/>
                <w:sz w:val="28"/>
                <w:szCs w:val="28"/>
              </w:rPr>
            </w:pPr>
            <w:r>
              <w:rPr>
                <w:rFonts w:ascii="Verdana" w:eastAsia="Verdana" w:hAnsi="Verdana" w:cs="Verdana"/>
                <w:sz w:val="28"/>
                <w:szCs w:val="28"/>
              </w:rPr>
              <w:t xml:space="preserve">Share </w:t>
            </w:r>
            <w:r w:rsidRPr="00DF0B07">
              <w:rPr>
                <w:rFonts w:ascii="Verdana" w:eastAsia="Verdana" w:hAnsi="Verdana" w:cs="Verdana"/>
                <w:sz w:val="28"/>
                <w:szCs w:val="28"/>
              </w:rPr>
              <w:t>technical guidelines</w:t>
            </w:r>
            <w:r>
              <w:rPr>
                <w:rFonts w:ascii="Verdana" w:eastAsia="Verdana" w:hAnsi="Verdana" w:cs="Verdana"/>
                <w:sz w:val="28"/>
                <w:szCs w:val="28"/>
              </w:rPr>
              <w:t xml:space="preserve"> </w:t>
            </w:r>
            <w:r w:rsidRPr="000D1C0D">
              <w:rPr>
                <w:rFonts w:ascii="Verdana" w:eastAsia="Verdana" w:hAnsi="Verdana" w:cs="Verdana"/>
                <w:sz w:val="28"/>
                <w:szCs w:val="28"/>
              </w:rPr>
              <w:t>on the use of telecommunications/</w:t>
            </w:r>
            <w:r>
              <w:rPr>
                <w:rFonts w:ascii="Verdana" w:eastAsia="Verdana" w:hAnsi="Verdana" w:cs="Verdana"/>
                <w:sz w:val="28"/>
                <w:szCs w:val="28"/>
              </w:rPr>
              <w:t xml:space="preserve"> </w:t>
            </w:r>
            <w:r w:rsidRPr="000D1C0D">
              <w:rPr>
                <w:rFonts w:ascii="Verdana" w:eastAsia="Verdana" w:hAnsi="Verdana" w:cs="Verdana"/>
                <w:sz w:val="28"/>
                <w:szCs w:val="28"/>
              </w:rPr>
              <w:t>ICT networks and services</w:t>
            </w:r>
            <w:r>
              <w:rPr>
                <w:rFonts w:ascii="Verdana" w:eastAsia="Verdana" w:hAnsi="Verdana" w:cs="Verdana"/>
                <w:sz w:val="28"/>
                <w:szCs w:val="28"/>
              </w:rPr>
              <w:t xml:space="preserve"> </w:t>
            </w:r>
            <w:r w:rsidRPr="000D1C0D">
              <w:rPr>
                <w:rFonts w:ascii="Verdana" w:eastAsia="Verdana" w:hAnsi="Verdana" w:cs="Verdana"/>
                <w:sz w:val="28"/>
                <w:szCs w:val="28"/>
              </w:rPr>
              <w:t xml:space="preserve">to support </w:t>
            </w:r>
            <w:r w:rsidRPr="00DF0B07">
              <w:rPr>
                <w:rFonts w:ascii="Verdana" w:eastAsia="Verdana" w:hAnsi="Verdana" w:cs="Verdana"/>
                <w:sz w:val="28"/>
                <w:szCs w:val="28"/>
              </w:rPr>
              <w:t>vertical applications</w:t>
            </w:r>
            <w:r w:rsidRPr="000D1C0D">
              <w:rPr>
                <w:rFonts w:ascii="Verdana" w:eastAsia="Verdana" w:hAnsi="Verdana" w:cs="Verdana"/>
                <w:sz w:val="28"/>
                <w:szCs w:val="28"/>
              </w:rPr>
              <w:t xml:space="preserve">, such as smart </w:t>
            </w:r>
            <w:r>
              <w:rPr>
                <w:rFonts w:ascii="Verdana" w:eastAsia="Verdana" w:hAnsi="Verdana" w:cs="Verdana"/>
                <w:sz w:val="28"/>
                <w:szCs w:val="28"/>
              </w:rPr>
              <w:t xml:space="preserve">sustainable </w:t>
            </w:r>
            <w:r w:rsidRPr="000D1C0D">
              <w:rPr>
                <w:rFonts w:ascii="Verdana" w:eastAsia="Verdana" w:hAnsi="Verdana" w:cs="Verdana"/>
                <w:sz w:val="28"/>
                <w:szCs w:val="28"/>
              </w:rPr>
              <w:t>cities.</w:t>
            </w:r>
          </w:p>
          <w:p w14:paraId="5E2A1AD0" w14:textId="77777777" w:rsidR="0014126C" w:rsidRDefault="0014126C" w:rsidP="0014126C">
            <w:pPr>
              <w:pStyle w:val="ListParagraph"/>
              <w:numPr>
                <w:ilvl w:val="0"/>
                <w:numId w:val="12"/>
              </w:numPr>
              <w:autoSpaceDE w:val="0"/>
              <w:autoSpaceDN w:val="0"/>
              <w:adjustRightInd w:val="0"/>
              <w:spacing w:after="0" w:line="240" w:lineRule="auto"/>
              <w:contextualSpacing/>
              <w:rPr>
                <w:rFonts w:ascii="Verdana" w:hAnsi="Verdana"/>
                <w:sz w:val="28"/>
                <w:szCs w:val="28"/>
                <w:lang w:eastAsia="ja-JP"/>
              </w:rPr>
            </w:pPr>
            <w:r w:rsidRPr="785B6C82">
              <w:rPr>
                <w:rFonts w:ascii="Verdana" w:hAnsi="Verdana"/>
                <w:sz w:val="28"/>
                <w:szCs w:val="28"/>
                <w:lang w:eastAsia="ja-JP"/>
              </w:rPr>
              <w:t xml:space="preserve">Explore the technical requirements for </w:t>
            </w:r>
            <w:r w:rsidRPr="002D2741">
              <w:rPr>
                <w:rFonts w:ascii="Verdana" w:hAnsi="Verdana"/>
                <w:sz w:val="28"/>
                <w:szCs w:val="28"/>
                <w:lang w:eastAsia="ja-JP"/>
              </w:rPr>
              <w:t>deploying open radio access networks and virtualized networks</w:t>
            </w:r>
            <w:r>
              <w:rPr>
                <w:rFonts w:ascii="Verdana" w:hAnsi="Verdana"/>
                <w:sz w:val="28"/>
                <w:szCs w:val="28"/>
                <w:lang w:eastAsia="ja-JP"/>
              </w:rPr>
              <w:t>.</w:t>
            </w:r>
          </w:p>
          <w:p w14:paraId="10537E86" w14:textId="1A23F20E" w:rsidR="0014126C" w:rsidRDefault="0014126C" w:rsidP="0014126C">
            <w:pPr>
              <w:pStyle w:val="ListParagraph"/>
              <w:numPr>
                <w:ilvl w:val="0"/>
                <w:numId w:val="12"/>
              </w:numPr>
              <w:autoSpaceDE w:val="0"/>
              <w:autoSpaceDN w:val="0"/>
              <w:adjustRightInd w:val="0"/>
              <w:spacing w:after="0" w:line="240" w:lineRule="auto"/>
              <w:contextualSpacing/>
              <w:rPr>
                <w:rFonts w:ascii="Verdana" w:hAnsi="Verdana"/>
                <w:sz w:val="28"/>
                <w:szCs w:val="28"/>
                <w:lang w:eastAsia="ja-JP"/>
              </w:rPr>
            </w:pPr>
            <w:r>
              <w:rPr>
                <w:rFonts w:ascii="Verdana" w:hAnsi="Verdana"/>
                <w:sz w:val="28"/>
                <w:szCs w:val="28"/>
                <w:lang w:eastAsia="ja-JP"/>
              </w:rPr>
              <w:t xml:space="preserve">Consider spectrum management aspects in the framework of deployment of </w:t>
            </w:r>
            <w:r w:rsidRPr="785B6C82">
              <w:rPr>
                <w:rFonts w:ascii="Verdana" w:hAnsi="Verdana"/>
                <w:sz w:val="28"/>
                <w:szCs w:val="28"/>
              </w:rPr>
              <w:t>telecommunications/</w:t>
            </w:r>
            <w:r>
              <w:rPr>
                <w:rFonts w:ascii="Verdana" w:hAnsi="Verdana"/>
                <w:sz w:val="28"/>
                <w:szCs w:val="28"/>
              </w:rPr>
              <w:t xml:space="preserve"> </w:t>
            </w:r>
            <w:r w:rsidRPr="785B6C82">
              <w:rPr>
                <w:rFonts w:ascii="Verdana" w:hAnsi="Verdana"/>
                <w:sz w:val="28"/>
                <w:szCs w:val="28"/>
              </w:rPr>
              <w:t>ICT infrastructure</w:t>
            </w:r>
            <w:r>
              <w:rPr>
                <w:rFonts w:ascii="Verdana" w:hAnsi="Verdana"/>
                <w:sz w:val="28"/>
                <w:szCs w:val="28"/>
              </w:rPr>
              <w:t xml:space="preserve"> </w:t>
            </w:r>
            <w:r w:rsidRPr="0031600F">
              <w:rPr>
                <w:rFonts w:ascii="Verdana" w:hAnsi="Verdana"/>
                <w:sz w:val="28"/>
                <w:szCs w:val="28"/>
              </w:rPr>
              <w:t>and adoption of emerging</w:t>
            </w:r>
            <w:r>
              <w:rPr>
                <w:rFonts w:ascii="Verdana" w:hAnsi="Verdana"/>
                <w:sz w:val="28"/>
                <w:szCs w:val="28"/>
              </w:rPr>
              <w:t xml:space="preserve"> digital</w:t>
            </w:r>
            <w:r w:rsidRPr="0031600F">
              <w:rPr>
                <w:rFonts w:ascii="Verdana" w:hAnsi="Verdana"/>
                <w:sz w:val="28"/>
                <w:szCs w:val="28"/>
              </w:rPr>
              <w:t xml:space="preserve"> technolog</w:t>
            </w:r>
            <w:r>
              <w:rPr>
                <w:rFonts w:ascii="Verdana" w:hAnsi="Verdana"/>
                <w:sz w:val="28"/>
                <w:szCs w:val="28"/>
              </w:rPr>
              <w:t>ies</w:t>
            </w:r>
            <w:r>
              <w:rPr>
                <w:rFonts w:ascii="Verdana" w:hAnsi="Verdana"/>
                <w:sz w:val="28"/>
                <w:szCs w:val="28"/>
                <w:lang w:eastAsia="ja-JP"/>
              </w:rPr>
              <w:t>.</w:t>
            </w:r>
            <w:r w:rsidRPr="00827E75">
              <w:rPr>
                <w:rFonts w:ascii="Verdana" w:hAnsi="Verdana"/>
                <w:sz w:val="28"/>
                <w:szCs w:val="28"/>
                <w:lang w:eastAsia="ja-JP"/>
              </w:rPr>
              <w:t xml:space="preserve"> </w:t>
            </w:r>
          </w:p>
          <w:p w14:paraId="6E298FCD" w14:textId="77777777" w:rsidR="0014126C" w:rsidRPr="003215A4" w:rsidRDefault="0014126C" w:rsidP="0014126C">
            <w:pPr>
              <w:pStyle w:val="ListParagraph"/>
              <w:numPr>
                <w:ilvl w:val="0"/>
                <w:numId w:val="12"/>
              </w:numPr>
              <w:autoSpaceDE w:val="0"/>
              <w:autoSpaceDN w:val="0"/>
              <w:adjustRightInd w:val="0"/>
              <w:spacing w:after="0" w:line="240" w:lineRule="auto"/>
              <w:contextualSpacing/>
              <w:rPr>
                <w:rFonts w:ascii="Verdana" w:hAnsi="Verdana"/>
                <w:sz w:val="28"/>
                <w:szCs w:val="28"/>
                <w:lang w:eastAsia="ja-JP"/>
              </w:rPr>
            </w:pPr>
            <w:r w:rsidRPr="003215A4">
              <w:rPr>
                <w:rFonts w:ascii="Verdana" w:hAnsi="Verdana"/>
                <w:sz w:val="28"/>
                <w:szCs w:val="28"/>
                <w:lang w:eastAsia="ja-JP"/>
              </w:rPr>
              <w:t>Studies on emerging digital technologies, including the relevant standards, and how it complements the region’s digital transformation.</w:t>
            </w:r>
            <w:r w:rsidRPr="003215A4" w:rsidDel="003215A4">
              <w:rPr>
                <w:rFonts w:ascii="Verdana" w:hAnsi="Verdana"/>
                <w:sz w:val="28"/>
                <w:szCs w:val="28"/>
                <w:lang w:eastAsia="ja-JP"/>
              </w:rPr>
              <w:t xml:space="preserve"> </w:t>
            </w:r>
          </w:p>
          <w:p w14:paraId="12028563" w14:textId="4D571D53" w:rsidR="0014126C" w:rsidRPr="00B32CFF" w:rsidRDefault="0014126C" w:rsidP="0014126C">
            <w:pPr>
              <w:pStyle w:val="ListParagraph"/>
              <w:autoSpaceDE w:val="0"/>
              <w:autoSpaceDN w:val="0"/>
              <w:adjustRightInd w:val="0"/>
              <w:spacing w:after="0" w:line="240" w:lineRule="auto"/>
              <w:ind w:left="360"/>
              <w:contextualSpacing/>
              <w:rPr>
                <w:rFonts w:ascii="Verdana" w:hAnsi="Verdana"/>
                <w:sz w:val="28"/>
                <w:szCs w:val="28"/>
                <w:lang w:eastAsia="ja-JP"/>
              </w:rPr>
            </w:pPr>
          </w:p>
        </w:tc>
      </w:tr>
      <w:tr w:rsidR="00276423" w:rsidRPr="009F49B7" w14:paraId="6F67CD77" w14:textId="77777777" w:rsidTr="000D1C0D">
        <w:trPr>
          <w:trHeight w:val="77"/>
        </w:trPr>
        <w:tc>
          <w:tcPr>
            <w:tcW w:w="985" w:type="dxa"/>
          </w:tcPr>
          <w:p w14:paraId="7EC43724" w14:textId="52C412E9" w:rsidR="00276423" w:rsidRPr="009F49B7" w:rsidRDefault="00276423" w:rsidP="00276423">
            <w:pPr>
              <w:jc w:val="center"/>
              <w:rPr>
                <w:rFonts w:ascii="Verdana" w:hAnsi="Verdana"/>
                <w:sz w:val="28"/>
                <w:szCs w:val="28"/>
              </w:rPr>
            </w:pPr>
            <w:r w:rsidRPr="785B6C82">
              <w:rPr>
                <w:rFonts w:ascii="Verdana" w:hAnsi="Verdana"/>
                <w:sz w:val="28"/>
                <w:szCs w:val="28"/>
              </w:rPr>
              <w:t>2.</w:t>
            </w:r>
          </w:p>
        </w:tc>
        <w:tc>
          <w:tcPr>
            <w:tcW w:w="6300" w:type="dxa"/>
          </w:tcPr>
          <w:p w14:paraId="76DA0E56" w14:textId="77777777" w:rsidR="00276423" w:rsidRDefault="00276423" w:rsidP="00276423">
            <w:pPr>
              <w:autoSpaceDE w:val="0"/>
              <w:autoSpaceDN w:val="0"/>
              <w:adjustRightInd w:val="0"/>
              <w:contextualSpacing/>
              <w:rPr>
                <w:rFonts w:ascii="Verdana" w:hAnsi="Verdana" w:cstheme="majorBidi"/>
                <w:sz w:val="28"/>
                <w:szCs w:val="28"/>
              </w:rPr>
            </w:pPr>
            <w:r>
              <w:rPr>
                <w:rFonts w:ascii="Verdana" w:hAnsi="Verdana" w:cstheme="majorBidi"/>
                <w:sz w:val="28"/>
                <w:szCs w:val="28"/>
              </w:rPr>
              <w:t xml:space="preserve">Improved </w:t>
            </w:r>
            <w:r w:rsidRPr="785B6C82">
              <w:rPr>
                <w:rFonts w:ascii="Verdana" w:hAnsi="Verdana" w:cstheme="majorBidi"/>
                <w:sz w:val="28"/>
                <w:szCs w:val="28"/>
              </w:rPr>
              <w:t xml:space="preserve">ICT literacy </w:t>
            </w:r>
            <w:r>
              <w:rPr>
                <w:rFonts w:ascii="Verdana" w:hAnsi="Verdana" w:cstheme="majorBidi"/>
                <w:sz w:val="28"/>
                <w:szCs w:val="28"/>
              </w:rPr>
              <w:t xml:space="preserve">and competency </w:t>
            </w:r>
            <w:r w:rsidRPr="785B6C82">
              <w:rPr>
                <w:rFonts w:ascii="Verdana" w:hAnsi="Verdana" w:cstheme="majorBidi"/>
                <w:sz w:val="28"/>
                <w:szCs w:val="28"/>
              </w:rPr>
              <w:t xml:space="preserve">among individuals and organizations, and further ICT leadership and governance capacity </w:t>
            </w:r>
            <w:r>
              <w:rPr>
                <w:rFonts w:ascii="Verdana" w:hAnsi="Verdana" w:cstheme="majorBidi"/>
                <w:sz w:val="28"/>
                <w:szCs w:val="28"/>
              </w:rPr>
              <w:t>with the</w:t>
            </w:r>
            <w:r w:rsidRPr="785B6C82">
              <w:rPr>
                <w:rFonts w:ascii="Verdana" w:hAnsi="Verdana" w:cstheme="majorBidi"/>
                <w:sz w:val="28"/>
                <w:szCs w:val="28"/>
              </w:rPr>
              <w:t xml:space="preserve"> understanding of potential applications, challenges, benefits and risks of new technologies</w:t>
            </w:r>
            <w:r>
              <w:rPr>
                <w:rFonts w:ascii="Verdana" w:hAnsi="Verdana" w:cstheme="majorBidi"/>
                <w:sz w:val="28"/>
                <w:szCs w:val="28"/>
              </w:rPr>
              <w:t>.</w:t>
            </w:r>
            <w:r w:rsidRPr="785B6C82">
              <w:rPr>
                <w:rFonts w:ascii="Verdana" w:hAnsi="Verdana" w:cstheme="majorBidi"/>
                <w:sz w:val="28"/>
                <w:szCs w:val="28"/>
              </w:rPr>
              <w:t xml:space="preserve"> </w:t>
            </w:r>
          </w:p>
          <w:p w14:paraId="0607FADD" w14:textId="52418C97" w:rsidR="00276423" w:rsidRPr="009F49B7" w:rsidRDefault="00276423" w:rsidP="00276423">
            <w:pPr>
              <w:autoSpaceDE w:val="0"/>
              <w:autoSpaceDN w:val="0"/>
              <w:adjustRightInd w:val="0"/>
              <w:contextualSpacing/>
              <w:rPr>
                <w:rFonts w:ascii="Verdana" w:hAnsi="Verdana" w:cstheme="majorHAnsi"/>
                <w:bCs/>
                <w:sz w:val="28"/>
                <w:szCs w:val="28"/>
                <w:lang w:val="en-NZ"/>
              </w:rPr>
            </w:pPr>
          </w:p>
        </w:tc>
        <w:tc>
          <w:tcPr>
            <w:tcW w:w="7200" w:type="dxa"/>
          </w:tcPr>
          <w:p w14:paraId="1B7F5605" w14:textId="77777777" w:rsidR="00276423" w:rsidRDefault="00276423" w:rsidP="00276423">
            <w:pPr>
              <w:pStyle w:val="ListParagraph"/>
              <w:numPr>
                <w:ilvl w:val="0"/>
                <w:numId w:val="36"/>
              </w:numPr>
              <w:autoSpaceDE w:val="0"/>
              <w:autoSpaceDN w:val="0"/>
              <w:adjustRightInd w:val="0"/>
              <w:contextualSpacing/>
              <w:rPr>
                <w:rFonts w:ascii="Verdana" w:hAnsi="Verdana"/>
                <w:sz w:val="28"/>
                <w:szCs w:val="28"/>
                <w:lang w:eastAsia="ja-JP"/>
              </w:rPr>
            </w:pPr>
            <w:r>
              <w:rPr>
                <w:rFonts w:ascii="Verdana" w:hAnsi="Verdana"/>
                <w:sz w:val="28"/>
                <w:szCs w:val="28"/>
                <w:lang w:eastAsia="ja-JP"/>
              </w:rPr>
              <w:t>E</w:t>
            </w:r>
            <w:r w:rsidRPr="4B8AF2C6">
              <w:rPr>
                <w:rFonts w:ascii="Verdana" w:hAnsi="Verdana"/>
                <w:sz w:val="28"/>
                <w:szCs w:val="28"/>
                <w:lang w:eastAsia="ja-JP"/>
              </w:rPr>
              <w:t xml:space="preserve">xchange information </w:t>
            </w:r>
            <w:r>
              <w:rPr>
                <w:rFonts w:ascii="Verdana" w:hAnsi="Verdana"/>
                <w:sz w:val="28"/>
                <w:szCs w:val="28"/>
                <w:lang w:eastAsia="ja-JP"/>
              </w:rPr>
              <w:t>and best practices on</w:t>
            </w:r>
            <w:r w:rsidRPr="4B8AF2C6">
              <w:rPr>
                <w:rFonts w:ascii="Verdana" w:hAnsi="Verdana"/>
                <w:sz w:val="28"/>
                <w:szCs w:val="28"/>
                <w:lang w:eastAsia="ja-JP"/>
              </w:rPr>
              <w:t xml:space="preserve"> STEM education</w:t>
            </w:r>
            <w:r>
              <w:rPr>
                <w:rFonts w:ascii="Verdana" w:hAnsi="Verdana"/>
                <w:sz w:val="28"/>
                <w:szCs w:val="28"/>
                <w:lang w:eastAsia="ja-JP"/>
              </w:rPr>
              <w:t xml:space="preserve"> and </w:t>
            </w:r>
            <w:r w:rsidRPr="4B8AF2C6">
              <w:rPr>
                <w:rFonts w:ascii="Verdana" w:hAnsi="Verdana"/>
                <w:sz w:val="28"/>
                <w:szCs w:val="28"/>
                <w:lang w:eastAsia="ja-JP"/>
              </w:rPr>
              <w:t>training</w:t>
            </w:r>
            <w:r>
              <w:rPr>
                <w:rFonts w:ascii="Verdana" w:hAnsi="Verdana"/>
                <w:sz w:val="28"/>
                <w:szCs w:val="28"/>
                <w:lang w:eastAsia="ja-JP"/>
              </w:rPr>
              <w:t>s</w:t>
            </w:r>
            <w:r w:rsidRPr="4B8AF2C6">
              <w:rPr>
                <w:rFonts w:ascii="Verdana" w:hAnsi="Verdana"/>
                <w:sz w:val="28"/>
                <w:szCs w:val="28"/>
                <w:lang w:eastAsia="ja-JP"/>
              </w:rPr>
              <w:t>, especially for under-represented groups (with</w:t>
            </w:r>
            <w:r>
              <w:rPr>
                <w:rFonts w:ascii="Verdana" w:hAnsi="Verdana"/>
                <w:sz w:val="28"/>
                <w:szCs w:val="28"/>
                <w:lang w:eastAsia="ja-JP"/>
              </w:rPr>
              <w:t xml:space="preserve"> possible collaboration with</w:t>
            </w:r>
            <w:r w:rsidRPr="4B8AF2C6">
              <w:rPr>
                <w:rFonts w:ascii="Verdana" w:hAnsi="Verdana"/>
                <w:sz w:val="28"/>
                <w:szCs w:val="28"/>
                <w:lang w:eastAsia="ja-JP"/>
              </w:rPr>
              <w:t xml:space="preserve"> HRDWG and PPWE)</w:t>
            </w:r>
            <w:r>
              <w:rPr>
                <w:rFonts w:ascii="Verdana" w:hAnsi="Verdana"/>
                <w:sz w:val="28"/>
                <w:szCs w:val="28"/>
                <w:lang w:eastAsia="ja-JP"/>
              </w:rPr>
              <w:t>.</w:t>
            </w:r>
          </w:p>
          <w:p w14:paraId="7F13C824" w14:textId="77777777" w:rsidR="00276423" w:rsidRDefault="00276423" w:rsidP="00276423">
            <w:pPr>
              <w:pStyle w:val="ListParagraph"/>
              <w:numPr>
                <w:ilvl w:val="0"/>
                <w:numId w:val="36"/>
              </w:numPr>
              <w:autoSpaceDE w:val="0"/>
              <w:autoSpaceDN w:val="0"/>
              <w:adjustRightInd w:val="0"/>
              <w:contextualSpacing/>
              <w:rPr>
                <w:rFonts w:ascii="Verdana" w:hAnsi="Verdana"/>
                <w:sz w:val="28"/>
                <w:szCs w:val="28"/>
                <w:lang w:eastAsia="ja-JP"/>
              </w:rPr>
            </w:pPr>
            <w:r w:rsidRPr="785B6C82">
              <w:rPr>
                <w:rFonts w:ascii="Verdana" w:hAnsi="Verdana"/>
                <w:sz w:val="28"/>
                <w:szCs w:val="28"/>
                <w:lang w:eastAsia="ja-JP"/>
              </w:rPr>
              <w:t>Promote digital inclusion</w:t>
            </w:r>
            <w:r>
              <w:rPr>
                <w:rFonts w:ascii="Verdana" w:hAnsi="Verdana"/>
                <w:sz w:val="28"/>
                <w:szCs w:val="28"/>
                <w:lang w:eastAsia="ja-JP"/>
              </w:rPr>
              <w:t>.</w:t>
            </w:r>
          </w:p>
          <w:p w14:paraId="34F21479" w14:textId="77777777" w:rsidR="00276423" w:rsidRPr="00B32CFF" w:rsidRDefault="00276423" w:rsidP="00276423">
            <w:pPr>
              <w:pStyle w:val="ListParagraph"/>
              <w:numPr>
                <w:ilvl w:val="0"/>
                <w:numId w:val="36"/>
              </w:numPr>
              <w:autoSpaceDE w:val="0"/>
              <w:autoSpaceDN w:val="0"/>
              <w:adjustRightInd w:val="0"/>
              <w:contextualSpacing/>
              <w:rPr>
                <w:rFonts w:ascii="Verdana" w:hAnsi="Verdana"/>
                <w:sz w:val="28"/>
                <w:szCs w:val="28"/>
                <w:lang w:eastAsia="ja-JP"/>
              </w:rPr>
            </w:pPr>
            <w:r>
              <w:rPr>
                <w:rFonts w:ascii="Verdana" w:hAnsi="Verdana"/>
                <w:sz w:val="28"/>
                <w:szCs w:val="28"/>
                <w:lang w:eastAsia="ja-JP"/>
              </w:rPr>
              <w:t>Enhance digital literacy, skills and competency for safe online use and experience.</w:t>
            </w:r>
          </w:p>
          <w:p w14:paraId="4608487D" w14:textId="77777777" w:rsidR="00276423" w:rsidRPr="00CA77DF" w:rsidRDefault="00276423" w:rsidP="00276423">
            <w:pPr>
              <w:pStyle w:val="ListParagraph"/>
              <w:numPr>
                <w:ilvl w:val="0"/>
                <w:numId w:val="36"/>
              </w:numPr>
              <w:autoSpaceDE w:val="0"/>
              <w:autoSpaceDN w:val="0"/>
              <w:adjustRightInd w:val="0"/>
              <w:contextualSpacing/>
              <w:rPr>
                <w:sz w:val="28"/>
                <w:szCs w:val="28"/>
                <w:lang w:eastAsia="ja-JP"/>
              </w:rPr>
            </w:pPr>
            <w:r w:rsidRPr="785B6C82">
              <w:rPr>
                <w:rFonts w:ascii="Verdana" w:hAnsi="Verdana"/>
                <w:sz w:val="28"/>
                <w:szCs w:val="28"/>
                <w:lang w:eastAsia="ja-JP"/>
              </w:rPr>
              <w:t>Build organizational capacity to manage data in a secure and trustworthy manner.</w:t>
            </w:r>
          </w:p>
          <w:p w14:paraId="7B2FAF5F" w14:textId="37032FC6" w:rsidR="00276423" w:rsidRPr="00532E8A" w:rsidRDefault="00276423" w:rsidP="00276423">
            <w:pPr>
              <w:pStyle w:val="ListParagraph"/>
              <w:numPr>
                <w:ilvl w:val="0"/>
                <w:numId w:val="36"/>
              </w:numPr>
              <w:autoSpaceDE w:val="0"/>
              <w:autoSpaceDN w:val="0"/>
              <w:adjustRightInd w:val="0"/>
              <w:contextualSpacing/>
              <w:rPr>
                <w:rFonts w:ascii="Verdana" w:hAnsi="Verdana"/>
                <w:sz w:val="28"/>
                <w:szCs w:val="28"/>
                <w:lang w:eastAsia="ja-JP"/>
              </w:rPr>
            </w:pPr>
            <w:r>
              <w:rPr>
                <w:rFonts w:ascii="Verdana" w:hAnsi="Verdana"/>
                <w:sz w:val="28"/>
                <w:szCs w:val="28"/>
                <w:lang w:eastAsia="ja-JP"/>
              </w:rPr>
              <w:t>Share</w:t>
            </w:r>
            <w:r w:rsidRPr="00CA77DF">
              <w:rPr>
                <w:rFonts w:ascii="Verdana" w:hAnsi="Verdana"/>
                <w:sz w:val="28"/>
                <w:szCs w:val="28"/>
                <w:lang w:eastAsia="ja-JP"/>
              </w:rPr>
              <w:t xml:space="preserve"> initiatives to equip digital non-natives with relevant digital skills</w:t>
            </w:r>
            <w:r>
              <w:rPr>
                <w:rFonts w:ascii="Verdana" w:hAnsi="Verdana"/>
                <w:sz w:val="28"/>
                <w:szCs w:val="28"/>
                <w:lang w:eastAsia="ja-JP"/>
              </w:rPr>
              <w:t>.</w:t>
            </w:r>
          </w:p>
        </w:tc>
      </w:tr>
      <w:tr w:rsidR="00276423" w:rsidRPr="009F49B7" w14:paraId="1AA51E31" w14:textId="77777777" w:rsidTr="00102E0A">
        <w:trPr>
          <w:trHeight w:val="77"/>
        </w:trPr>
        <w:tc>
          <w:tcPr>
            <w:tcW w:w="985" w:type="dxa"/>
            <w:shd w:val="clear" w:color="auto" w:fill="auto"/>
          </w:tcPr>
          <w:p w14:paraId="3BF5D935" w14:textId="2C97D39E" w:rsidR="00276423" w:rsidRPr="009F49B7" w:rsidRDefault="00276423" w:rsidP="00276423">
            <w:pPr>
              <w:jc w:val="center"/>
              <w:rPr>
                <w:rFonts w:ascii="Verdana" w:hAnsi="Verdana"/>
                <w:sz w:val="28"/>
                <w:szCs w:val="28"/>
              </w:rPr>
            </w:pPr>
            <w:r w:rsidRPr="785B6C82">
              <w:rPr>
                <w:rFonts w:ascii="Verdana" w:hAnsi="Verdana"/>
                <w:sz w:val="28"/>
                <w:szCs w:val="28"/>
              </w:rPr>
              <w:t>3.</w:t>
            </w:r>
          </w:p>
        </w:tc>
        <w:tc>
          <w:tcPr>
            <w:tcW w:w="6300" w:type="dxa"/>
            <w:shd w:val="clear" w:color="auto" w:fill="auto"/>
          </w:tcPr>
          <w:p w14:paraId="619A89D6" w14:textId="6BA9ADA7" w:rsidR="00276423" w:rsidRPr="00467872" w:rsidRDefault="00276423" w:rsidP="00276423">
            <w:pPr>
              <w:autoSpaceDE w:val="0"/>
              <w:autoSpaceDN w:val="0"/>
              <w:adjustRightInd w:val="0"/>
              <w:contextualSpacing/>
              <w:rPr>
                <w:rFonts w:ascii="Verdana" w:hAnsi="Verdana" w:cstheme="majorBidi"/>
                <w:sz w:val="28"/>
                <w:szCs w:val="28"/>
              </w:rPr>
            </w:pPr>
            <w:r>
              <w:rPr>
                <w:rFonts w:ascii="Verdana" w:hAnsi="Verdana" w:cstheme="majorBidi"/>
                <w:sz w:val="28"/>
                <w:szCs w:val="28"/>
              </w:rPr>
              <w:t>Promotion of</w:t>
            </w:r>
            <w:r w:rsidRPr="4B8AF2C6">
              <w:rPr>
                <w:rFonts w:ascii="Verdana" w:hAnsi="Verdana" w:cstheme="majorBidi"/>
                <w:sz w:val="28"/>
                <w:szCs w:val="28"/>
              </w:rPr>
              <w:t xml:space="preserve"> </w:t>
            </w:r>
            <w:r>
              <w:rPr>
                <w:rFonts w:ascii="Verdana" w:hAnsi="Verdana" w:cstheme="majorBidi"/>
                <w:sz w:val="28"/>
                <w:szCs w:val="28"/>
              </w:rPr>
              <w:t>s</w:t>
            </w:r>
            <w:r w:rsidRPr="4B8AF2C6">
              <w:rPr>
                <w:rFonts w:ascii="Verdana" w:hAnsi="Verdana" w:cstheme="majorBidi"/>
                <w:sz w:val="28"/>
                <w:szCs w:val="28"/>
              </w:rPr>
              <w:t>ustainable environmental development through the use of green and energy-efficient ICTs</w:t>
            </w:r>
            <w:r w:rsidR="00126698">
              <w:rPr>
                <w:rFonts w:ascii="Verdana" w:hAnsi="Verdana" w:cstheme="majorBidi"/>
                <w:sz w:val="28"/>
                <w:szCs w:val="28"/>
              </w:rPr>
              <w:t>.</w:t>
            </w:r>
            <w:r w:rsidRPr="4B8AF2C6">
              <w:rPr>
                <w:rFonts w:ascii="Verdana" w:hAnsi="Verdana" w:cstheme="majorBidi"/>
                <w:sz w:val="28"/>
                <w:szCs w:val="28"/>
              </w:rPr>
              <w:t xml:space="preserve"> </w:t>
            </w:r>
          </w:p>
        </w:tc>
        <w:tc>
          <w:tcPr>
            <w:tcW w:w="7200" w:type="dxa"/>
            <w:shd w:val="clear" w:color="auto" w:fill="auto"/>
          </w:tcPr>
          <w:p w14:paraId="32BF9651" w14:textId="61CA0309" w:rsidR="00276423" w:rsidRPr="00B32CFF" w:rsidRDefault="00276423" w:rsidP="00276423">
            <w:pPr>
              <w:pStyle w:val="ListParagraph"/>
              <w:numPr>
                <w:ilvl w:val="0"/>
                <w:numId w:val="14"/>
              </w:numPr>
              <w:autoSpaceDE w:val="0"/>
              <w:autoSpaceDN w:val="0"/>
              <w:adjustRightInd w:val="0"/>
              <w:contextualSpacing/>
              <w:rPr>
                <w:rFonts w:ascii="Verdana" w:hAnsi="Verdana"/>
                <w:sz w:val="28"/>
                <w:szCs w:val="28"/>
                <w:lang w:eastAsia="ja-JP"/>
              </w:rPr>
            </w:pPr>
            <w:r>
              <w:rPr>
                <w:rFonts w:ascii="Verdana" w:hAnsi="Verdana" w:cstheme="majorBidi"/>
                <w:sz w:val="28"/>
                <w:szCs w:val="28"/>
                <w:lang w:val="en-NZ"/>
              </w:rPr>
              <w:t xml:space="preserve">Capacity building on </w:t>
            </w:r>
            <w:r w:rsidRPr="00B32CFF">
              <w:rPr>
                <w:rFonts w:ascii="Verdana" w:hAnsi="Verdana"/>
                <w:sz w:val="28"/>
                <w:szCs w:val="28"/>
                <w:lang w:eastAsia="ja-JP"/>
              </w:rPr>
              <w:t>green ICT metrics</w:t>
            </w:r>
            <w:r>
              <w:rPr>
                <w:rFonts w:ascii="Verdana" w:hAnsi="Verdana"/>
                <w:sz w:val="28"/>
                <w:szCs w:val="28"/>
                <w:lang w:eastAsia="ja-JP"/>
              </w:rPr>
              <w:t>.</w:t>
            </w:r>
            <w:r w:rsidRPr="00B32CFF">
              <w:rPr>
                <w:rFonts w:ascii="Verdana" w:hAnsi="Verdana"/>
                <w:sz w:val="28"/>
                <w:szCs w:val="28"/>
                <w:lang w:eastAsia="ja-JP"/>
              </w:rPr>
              <w:t xml:space="preserve"> </w:t>
            </w:r>
          </w:p>
          <w:p w14:paraId="00A6D0CE" w14:textId="37509803" w:rsidR="00276423" w:rsidRPr="005B5449" w:rsidRDefault="00276423" w:rsidP="00276423">
            <w:pPr>
              <w:pStyle w:val="ListParagraph"/>
              <w:numPr>
                <w:ilvl w:val="0"/>
                <w:numId w:val="14"/>
              </w:numPr>
              <w:autoSpaceDE w:val="0"/>
              <w:autoSpaceDN w:val="0"/>
              <w:adjustRightInd w:val="0"/>
              <w:contextualSpacing/>
              <w:rPr>
                <w:rFonts w:ascii="Verdana" w:hAnsi="Verdana"/>
                <w:sz w:val="28"/>
                <w:szCs w:val="28"/>
                <w:lang w:eastAsia="ja-JP"/>
              </w:rPr>
            </w:pPr>
            <w:r w:rsidRPr="785B6C82">
              <w:rPr>
                <w:rFonts w:ascii="Verdana" w:hAnsi="Verdana"/>
                <w:sz w:val="28"/>
                <w:szCs w:val="28"/>
                <w:lang w:eastAsia="ja-JP"/>
              </w:rPr>
              <w:t>Exchange information on incentives for the production of greener ICT devices and equipment and e-cycling programs.</w:t>
            </w:r>
          </w:p>
        </w:tc>
      </w:tr>
      <w:tr w:rsidR="00276423" w:rsidRPr="009F49B7" w14:paraId="463FDCF3" w14:textId="77777777" w:rsidTr="00102E0A">
        <w:trPr>
          <w:trHeight w:val="77"/>
        </w:trPr>
        <w:tc>
          <w:tcPr>
            <w:tcW w:w="985" w:type="dxa"/>
            <w:shd w:val="clear" w:color="auto" w:fill="auto"/>
          </w:tcPr>
          <w:p w14:paraId="0EFC75C3" w14:textId="116C8498" w:rsidR="00276423" w:rsidRDefault="00276423" w:rsidP="00276423">
            <w:pPr>
              <w:jc w:val="center"/>
              <w:rPr>
                <w:rFonts w:ascii="Verdana" w:hAnsi="Verdana"/>
                <w:sz w:val="28"/>
                <w:szCs w:val="28"/>
              </w:rPr>
            </w:pPr>
            <w:r>
              <w:rPr>
                <w:rFonts w:ascii="Verdana" w:hAnsi="Verdana"/>
                <w:sz w:val="28"/>
                <w:szCs w:val="28"/>
              </w:rPr>
              <w:t>4.</w:t>
            </w:r>
          </w:p>
        </w:tc>
        <w:tc>
          <w:tcPr>
            <w:tcW w:w="6300" w:type="dxa"/>
            <w:shd w:val="clear" w:color="auto" w:fill="auto"/>
          </w:tcPr>
          <w:p w14:paraId="063E818D" w14:textId="5DA0825D" w:rsidR="00276423" w:rsidRPr="007E6F68" w:rsidRDefault="00276423" w:rsidP="00276423">
            <w:pPr>
              <w:autoSpaceDE w:val="0"/>
              <w:autoSpaceDN w:val="0"/>
              <w:adjustRightInd w:val="0"/>
              <w:contextualSpacing/>
              <w:rPr>
                <w:rFonts w:ascii="Verdana" w:hAnsi="Verdana" w:cstheme="majorBidi"/>
                <w:sz w:val="28"/>
                <w:szCs w:val="28"/>
              </w:rPr>
            </w:pPr>
            <w:r>
              <w:rPr>
                <w:rFonts w:ascii="Verdana" w:eastAsia="SimSun" w:hAnsi="Verdana" w:cstheme="majorHAnsi"/>
                <w:bCs/>
                <w:sz w:val="28"/>
                <w:szCs w:val="28"/>
                <w:lang w:eastAsia="zh-CN"/>
              </w:rPr>
              <w:t>Promote the use of ICTs and emerging digital technologies in response to global challenges and pandemics.</w:t>
            </w:r>
          </w:p>
        </w:tc>
        <w:tc>
          <w:tcPr>
            <w:tcW w:w="7200" w:type="dxa"/>
            <w:shd w:val="clear" w:color="auto" w:fill="auto"/>
          </w:tcPr>
          <w:p w14:paraId="5D6C6C16" w14:textId="66C389A1" w:rsidR="00276423" w:rsidRPr="003215A4" w:rsidRDefault="00276423" w:rsidP="00276423">
            <w:pPr>
              <w:pStyle w:val="ListParagraph"/>
              <w:numPr>
                <w:ilvl w:val="0"/>
                <w:numId w:val="14"/>
              </w:numPr>
              <w:autoSpaceDE w:val="0"/>
              <w:autoSpaceDN w:val="0"/>
              <w:adjustRightInd w:val="0"/>
              <w:contextualSpacing/>
              <w:rPr>
                <w:rFonts w:ascii="Verdana" w:hAnsi="Verdana"/>
                <w:sz w:val="28"/>
                <w:szCs w:val="28"/>
                <w:lang w:eastAsia="ja-JP"/>
              </w:rPr>
            </w:pPr>
            <w:r>
              <w:rPr>
                <w:rFonts w:ascii="Verdana" w:eastAsia="SimSun" w:hAnsi="Verdana"/>
                <w:sz w:val="28"/>
                <w:szCs w:val="28"/>
                <w:lang w:eastAsia="zh-CN"/>
              </w:rPr>
              <w:t xml:space="preserve">Exchange relevant information, practices and solutions </w:t>
            </w:r>
            <w:r w:rsidR="00937EF3">
              <w:rPr>
                <w:rFonts w:ascii="Verdana" w:eastAsia="SimSun" w:hAnsi="Verdana"/>
                <w:sz w:val="28"/>
                <w:szCs w:val="28"/>
                <w:lang w:eastAsia="zh-CN"/>
              </w:rPr>
              <w:t>on the use</w:t>
            </w:r>
            <w:r>
              <w:rPr>
                <w:rFonts w:ascii="Verdana" w:eastAsia="SimSun" w:hAnsi="Verdana"/>
                <w:sz w:val="28"/>
                <w:szCs w:val="28"/>
                <w:lang w:eastAsia="zh-CN"/>
              </w:rPr>
              <w:t xml:space="preserve"> of telecommunications</w:t>
            </w:r>
            <w:r w:rsidR="00937EF3">
              <w:rPr>
                <w:rFonts w:ascii="Verdana" w:eastAsia="SimSun" w:hAnsi="Verdana"/>
                <w:sz w:val="28"/>
                <w:szCs w:val="28"/>
                <w:lang w:eastAsia="zh-CN"/>
              </w:rPr>
              <w:t>/</w:t>
            </w:r>
            <w:r>
              <w:rPr>
                <w:rFonts w:ascii="Verdana" w:eastAsia="SimSun" w:hAnsi="Verdana"/>
                <w:sz w:val="28"/>
                <w:szCs w:val="28"/>
                <w:lang w:eastAsia="zh-CN"/>
              </w:rPr>
              <w:t xml:space="preserve"> ICT during and after global and regional emergencies and</w:t>
            </w:r>
            <w:r>
              <w:rPr>
                <w:rFonts w:ascii="Verdana" w:eastAsia="SimSun" w:hAnsi="Verdana" w:hint="eastAsia"/>
                <w:sz w:val="28"/>
                <w:szCs w:val="28"/>
                <w:lang w:eastAsia="zh-CN"/>
              </w:rPr>
              <w:t xml:space="preserve"> </w:t>
            </w:r>
            <w:r>
              <w:rPr>
                <w:rFonts w:ascii="Verdana" w:eastAsia="SimSun" w:hAnsi="Verdana"/>
                <w:sz w:val="28"/>
                <w:szCs w:val="28"/>
                <w:lang w:eastAsia="zh-CN"/>
              </w:rPr>
              <w:t>pandemics.</w:t>
            </w:r>
          </w:p>
          <w:p w14:paraId="26FCAB2E" w14:textId="19F68274" w:rsidR="00276423" w:rsidRPr="785B6C82" w:rsidDel="7BB05C9C" w:rsidRDefault="00276423" w:rsidP="007F2F83">
            <w:pPr>
              <w:pStyle w:val="ListParagraph"/>
              <w:numPr>
                <w:ilvl w:val="0"/>
                <w:numId w:val="14"/>
              </w:numPr>
              <w:autoSpaceDE w:val="0"/>
              <w:autoSpaceDN w:val="0"/>
              <w:adjustRightInd w:val="0"/>
              <w:contextualSpacing/>
              <w:rPr>
                <w:rFonts w:ascii="Verdana" w:hAnsi="Verdana"/>
                <w:sz w:val="28"/>
                <w:szCs w:val="28"/>
                <w:lang w:eastAsia="ja-JP"/>
              </w:rPr>
            </w:pPr>
            <w:r>
              <w:rPr>
                <w:rFonts w:ascii="Verdana" w:eastAsia="SimSun" w:hAnsi="Verdana"/>
                <w:sz w:val="28"/>
                <w:szCs w:val="28"/>
                <w:lang w:eastAsia="zh-CN"/>
              </w:rPr>
              <w:t>Participate in the implementation of</w:t>
            </w:r>
            <w:r w:rsidRPr="00D502B4">
              <w:rPr>
                <w:rFonts w:ascii="Verdana" w:eastAsia="SimSun" w:hAnsi="Verdana"/>
                <w:sz w:val="28"/>
                <w:szCs w:val="28"/>
                <w:lang w:eastAsia="zh-CN"/>
              </w:rPr>
              <w:t xml:space="preserve"> </w:t>
            </w:r>
            <w:r w:rsidR="00937EF3">
              <w:rPr>
                <w:rFonts w:ascii="Verdana" w:eastAsia="SimSun" w:hAnsi="Verdana"/>
                <w:sz w:val="28"/>
                <w:szCs w:val="28"/>
                <w:lang w:eastAsia="zh-CN"/>
              </w:rPr>
              <w:t xml:space="preserve">the </w:t>
            </w:r>
            <w:r w:rsidRPr="00D502B4">
              <w:rPr>
                <w:rFonts w:ascii="Verdana" w:eastAsia="SimSun" w:hAnsi="Verdana"/>
                <w:sz w:val="28"/>
                <w:szCs w:val="28"/>
                <w:lang w:eastAsia="zh-CN"/>
              </w:rPr>
              <w:t xml:space="preserve">APEC TEL Initiative on Global Challenges and Cooperation Utilizing ICT– COVID-19 </w:t>
            </w:r>
            <w:r w:rsidR="00937EF3">
              <w:rPr>
                <w:rFonts w:ascii="Verdana" w:eastAsia="SimSun" w:hAnsi="Verdana"/>
                <w:sz w:val="28"/>
                <w:szCs w:val="28"/>
                <w:lang w:eastAsia="zh-CN"/>
              </w:rPr>
              <w:t>P</w:t>
            </w:r>
            <w:r w:rsidR="00937EF3" w:rsidRPr="00D502B4">
              <w:rPr>
                <w:rFonts w:ascii="Verdana" w:eastAsia="SimSun" w:hAnsi="Verdana"/>
                <w:sz w:val="28"/>
                <w:szCs w:val="28"/>
                <w:lang w:eastAsia="zh-CN"/>
              </w:rPr>
              <w:t xml:space="preserve">andemic </w:t>
            </w:r>
            <w:r w:rsidRPr="00D502B4">
              <w:rPr>
                <w:rFonts w:ascii="Verdana" w:eastAsia="SimSun" w:hAnsi="Verdana"/>
                <w:sz w:val="28"/>
                <w:szCs w:val="28"/>
                <w:lang w:eastAsia="zh-CN"/>
              </w:rPr>
              <w:t xml:space="preserve">and </w:t>
            </w:r>
            <w:proofErr w:type="gramStart"/>
            <w:r w:rsidR="00937EF3">
              <w:rPr>
                <w:rFonts w:ascii="Verdana" w:eastAsia="SimSun" w:hAnsi="Verdana"/>
                <w:sz w:val="28"/>
                <w:szCs w:val="28"/>
                <w:lang w:eastAsia="zh-CN"/>
              </w:rPr>
              <w:t>B</w:t>
            </w:r>
            <w:r w:rsidR="00937EF3" w:rsidRPr="00D502B4">
              <w:rPr>
                <w:rFonts w:ascii="Verdana" w:eastAsia="SimSun" w:hAnsi="Verdana"/>
                <w:sz w:val="28"/>
                <w:szCs w:val="28"/>
                <w:lang w:eastAsia="zh-CN"/>
              </w:rPr>
              <w:t>eyond</w:t>
            </w:r>
            <w:proofErr w:type="gramEnd"/>
            <w:r w:rsidRPr="00D502B4">
              <w:rPr>
                <w:rFonts w:ascii="Verdana" w:eastAsia="SimSun" w:hAnsi="Verdana"/>
                <w:sz w:val="28"/>
                <w:szCs w:val="28"/>
                <w:lang w:eastAsia="zh-CN"/>
              </w:rPr>
              <w:t>.</w:t>
            </w:r>
          </w:p>
        </w:tc>
      </w:tr>
    </w:tbl>
    <w:p w14:paraId="45EDB724" w14:textId="77777777" w:rsidR="009E68D0" w:rsidRPr="009F49B7" w:rsidRDefault="009E68D0" w:rsidP="009E68D0">
      <w:pPr>
        <w:jc w:val="both"/>
        <w:rPr>
          <w:rFonts w:ascii="Verdana" w:hAnsi="Verdana" w:cstheme="majorHAnsi"/>
          <w:b/>
          <w:sz w:val="28"/>
          <w:szCs w:val="28"/>
          <w:lang w:val="en-NZ"/>
        </w:rPr>
      </w:pPr>
    </w:p>
    <w:p w14:paraId="4B97B007" w14:textId="77777777" w:rsidR="009E68D0" w:rsidRPr="009F49B7" w:rsidRDefault="009E68D0" w:rsidP="009E68D0">
      <w:pPr>
        <w:jc w:val="both"/>
        <w:rPr>
          <w:rFonts w:ascii="Verdana" w:hAnsi="Verdana" w:cstheme="majorHAnsi"/>
          <w:b/>
          <w:sz w:val="28"/>
          <w:szCs w:val="28"/>
          <w:lang w:val="en-NZ"/>
        </w:rPr>
      </w:pPr>
    </w:p>
    <w:p w14:paraId="1548CF1E" w14:textId="77777777" w:rsidR="009E68D0" w:rsidRPr="009F49B7" w:rsidRDefault="009E68D0" w:rsidP="009E68D0">
      <w:pPr>
        <w:jc w:val="both"/>
        <w:rPr>
          <w:rFonts w:ascii="Verdana" w:hAnsi="Verdana" w:cstheme="majorHAnsi"/>
          <w:b/>
          <w:sz w:val="28"/>
          <w:szCs w:val="28"/>
          <w:lang w:val="en-NZ"/>
        </w:rPr>
      </w:pPr>
    </w:p>
    <w:p w14:paraId="253E6BD2" w14:textId="77777777" w:rsidR="009E68D0" w:rsidRPr="009F49B7" w:rsidRDefault="009E68D0" w:rsidP="009E68D0">
      <w:pPr>
        <w:rPr>
          <w:sz w:val="28"/>
          <w:szCs w:val="28"/>
        </w:rPr>
      </w:pPr>
      <w:r w:rsidRPr="009F49B7">
        <w:rPr>
          <w:sz w:val="28"/>
          <w:szCs w:val="28"/>
        </w:rPr>
        <w:br w:type="page"/>
      </w:r>
    </w:p>
    <w:tbl>
      <w:tblPr>
        <w:tblStyle w:val="TableGrid"/>
        <w:tblW w:w="14485" w:type="dxa"/>
        <w:tblLayout w:type="fixed"/>
        <w:tblLook w:val="04A0" w:firstRow="1" w:lastRow="0" w:firstColumn="1" w:lastColumn="0" w:noHBand="0" w:noVBand="1"/>
      </w:tblPr>
      <w:tblGrid>
        <w:gridCol w:w="985"/>
        <w:gridCol w:w="6300"/>
        <w:gridCol w:w="7200"/>
      </w:tblGrid>
      <w:tr w:rsidR="00FD33E9" w:rsidRPr="009F49B7" w14:paraId="795B27E9" w14:textId="77777777" w:rsidTr="00105DE8">
        <w:trPr>
          <w:tblHeader/>
        </w:trPr>
        <w:tc>
          <w:tcPr>
            <w:tcW w:w="14485" w:type="dxa"/>
            <w:gridSpan w:val="3"/>
            <w:shd w:val="clear" w:color="auto" w:fill="0D0D0D" w:themeFill="text1" w:themeFillTint="F2"/>
          </w:tcPr>
          <w:p w14:paraId="32F197D9" w14:textId="1B569508" w:rsidR="00FD33E9" w:rsidRPr="009F49B7" w:rsidRDefault="00FD33E9" w:rsidP="009E68D0">
            <w:pPr>
              <w:autoSpaceDE w:val="0"/>
              <w:autoSpaceDN w:val="0"/>
              <w:adjustRightInd w:val="0"/>
              <w:contextualSpacing/>
              <w:rPr>
                <w:rFonts w:ascii="Verdana" w:hAnsi="Verdana" w:cstheme="majorHAnsi"/>
                <w:b/>
                <w:bCs/>
                <w:sz w:val="28"/>
                <w:szCs w:val="28"/>
                <w:lang w:val="en-NZ"/>
              </w:rPr>
            </w:pPr>
            <w:r>
              <w:rPr>
                <w:rFonts w:ascii="Verdana" w:hAnsi="Verdana" w:cstheme="majorHAnsi"/>
                <w:b/>
                <w:bCs/>
                <w:sz w:val="28"/>
                <w:szCs w:val="28"/>
                <w:lang w:val="en-NZ"/>
              </w:rPr>
              <w:t>Security and Prosperity Steering Group (SPSG)</w:t>
            </w:r>
          </w:p>
        </w:tc>
      </w:tr>
      <w:tr w:rsidR="009E68D0" w:rsidRPr="009F49B7" w14:paraId="05245BC7" w14:textId="77777777" w:rsidTr="2CD0784F">
        <w:trPr>
          <w:tblHeader/>
        </w:trPr>
        <w:tc>
          <w:tcPr>
            <w:tcW w:w="14485" w:type="dxa"/>
            <w:gridSpan w:val="3"/>
            <w:shd w:val="clear" w:color="auto" w:fill="DEEAF6" w:themeFill="accent1" w:themeFillTint="33"/>
          </w:tcPr>
          <w:p w14:paraId="442CC8E9" w14:textId="6149B0A2" w:rsidR="005846D7" w:rsidRPr="004F58EC" w:rsidRDefault="0C15EE1A" w:rsidP="004F58EC">
            <w:pPr>
              <w:autoSpaceDE w:val="0"/>
              <w:autoSpaceDN w:val="0"/>
              <w:adjustRightInd w:val="0"/>
              <w:jc w:val="both"/>
              <w:rPr>
                <w:rFonts w:ascii="Verdana" w:hAnsi="Verdana"/>
                <w:sz w:val="28"/>
                <w:szCs w:val="28"/>
              </w:rPr>
            </w:pPr>
            <w:r w:rsidRPr="004F58EC">
              <w:rPr>
                <w:rFonts w:ascii="Verdana" w:eastAsia="Franklin Gothic Book" w:hAnsi="Verdana" w:cs="Franklin Gothic Book"/>
                <w:color w:val="201F1E"/>
                <w:sz w:val="28"/>
                <w:szCs w:val="28"/>
              </w:rPr>
              <w:t xml:space="preserve">The Security and Prosperity Steering Group (SPSG) aims to promote security and trust in networks, infrastructure, services, technologies, applications, and </w:t>
            </w:r>
            <w:r w:rsidR="00634884" w:rsidRPr="004F58EC">
              <w:rPr>
                <w:rFonts w:ascii="Verdana" w:eastAsia="Franklin Gothic Book" w:hAnsi="Verdana" w:cs="Franklin Gothic Book"/>
                <w:color w:val="201F1E"/>
                <w:sz w:val="28"/>
                <w:szCs w:val="28"/>
              </w:rPr>
              <w:t>digital economy</w:t>
            </w:r>
            <w:r w:rsidR="00EB1C98">
              <w:rPr>
                <w:rFonts w:ascii="Verdana" w:eastAsia="Franklin Gothic Book" w:hAnsi="Verdana" w:cs="Franklin Gothic Book"/>
                <w:color w:val="201F1E"/>
                <w:sz w:val="28"/>
                <w:szCs w:val="28"/>
              </w:rPr>
              <w:t>,</w:t>
            </w:r>
            <w:r w:rsidRPr="004F58EC">
              <w:rPr>
                <w:rFonts w:ascii="Verdana" w:eastAsia="Franklin Gothic Book" w:hAnsi="Verdana" w:cs="Franklin Gothic Book"/>
                <w:color w:val="201F1E"/>
                <w:sz w:val="28"/>
                <w:szCs w:val="28"/>
              </w:rPr>
              <w:t xml:space="preserve"> as well as engage in capacity building on preventing and combating cyber-crime, responding to computer security incidents, and implementing cybersecurity awareness initiatives. </w:t>
            </w:r>
          </w:p>
        </w:tc>
      </w:tr>
      <w:tr w:rsidR="009E68D0" w:rsidRPr="009F49B7" w14:paraId="221B28A6" w14:textId="77777777" w:rsidTr="2CD0784F">
        <w:trPr>
          <w:tblHeader/>
        </w:trPr>
        <w:tc>
          <w:tcPr>
            <w:tcW w:w="985" w:type="dxa"/>
            <w:shd w:val="clear" w:color="auto" w:fill="FFE599" w:themeFill="accent4" w:themeFillTint="66"/>
          </w:tcPr>
          <w:p w14:paraId="5EE19F8F" w14:textId="77777777" w:rsidR="009E68D0" w:rsidRPr="009F49B7" w:rsidRDefault="009E68D0" w:rsidP="009E68D0">
            <w:pPr>
              <w:jc w:val="center"/>
              <w:rPr>
                <w:rFonts w:ascii="Verdana" w:hAnsi="Verdana"/>
                <w:b/>
                <w:sz w:val="28"/>
                <w:szCs w:val="28"/>
              </w:rPr>
            </w:pPr>
            <w:r w:rsidRPr="009F49B7">
              <w:rPr>
                <w:rFonts w:ascii="Verdana" w:hAnsi="Verdana"/>
                <w:b/>
                <w:sz w:val="28"/>
                <w:szCs w:val="28"/>
              </w:rPr>
              <w:t>No.</w:t>
            </w:r>
          </w:p>
        </w:tc>
        <w:tc>
          <w:tcPr>
            <w:tcW w:w="6300" w:type="dxa"/>
            <w:shd w:val="clear" w:color="auto" w:fill="FFE599" w:themeFill="accent4" w:themeFillTint="66"/>
          </w:tcPr>
          <w:p w14:paraId="10B3089E" w14:textId="77777777" w:rsidR="009E68D0" w:rsidRPr="009F49B7" w:rsidRDefault="009E68D0" w:rsidP="009E68D0">
            <w:pPr>
              <w:autoSpaceDE w:val="0"/>
              <w:autoSpaceDN w:val="0"/>
              <w:adjustRightInd w:val="0"/>
              <w:contextualSpacing/>
              <w:jc w:val="center"/>
              <w:rPr>
                <w:rFonts w:ascii="Verdana" w:hAnsi="Verdana" w:cstheme="majorHAnsi"/>
                <w:b/>
                <w:bCs/>
                <w:sz w:val="28"/>
                <w:szCs w:val="28"/>
                <w:lang w:val="en-NZ"/>
              </w:rPr>
            </w:pPr>
            <w:r w:rsidRPr="009F49B7">
              <w:rPr>
                <w:rFonts w:ascii="Verdana" w:hAnsi="Verdana"/>
                <w:b/>
                <w:sz w:val="28"/>
                <w:szCs w:val="28"/>
              </w:rPr>
              <w:t>Objectives</w:t>
            </w:r>
          </w:p>
        </w:tc>
        <w:tc>
          <w:tcPr>
            <w:tcW w:w="7200" w:type="dxa"/>
            <w:shd w:val="clear" w:color="auto" w:fill="FFE599" w:themeFill="accent4" w:themeFillTint="66"/>
          </w:tcPr>
          <w:p w14:paraId="3F5E5CCE" w14:textId="77777777" w:rsidR="009E68D0" w:rsidRPr="009F49B7" w:rsidRDefault="009E68D0" w:rsidP="009E68D0">
            <w:pPr>
              <w:autoSpaceDE w:val="0"/>
              <w:autoSpaceDN w:val="0"/>
              <w:adjustRightInd w:val="0"/>
              <w:contextualSpacing/>
              <w:jc w:val="center"/>
              <w:rPr>
                <w:rFonts w:ascii="Verdana" w:hAnsi="Verdana" w:cstheme="majorHAnsi"/>
                <w:b/>
                <w:bCs/>
                <w:sz w:val="28"/>
                <w:szCs w:val="28"/>
                <w:lang w:val="en-NZ"/>
              </w:rPr>
            </w:pPr>
            <w:r w:rsidRPr="009F49B7">
              <w:rPr>
                <w:rFonts w:ascii="Verdana" w:hAnsi="Verdana"/>
                <w:b/>
                <w:sz w:val="28"/>
                <w:szCs w:val="28"/>
              </w:rPr>
              <w:t>Actions</w:t>
            </w:r>
          </w:p>
        </w:tc>
      </w:tr>
      <w:tr w:rsidR="00CC4232" w:rsidRPr="009F49B7" w14:paraId="372DCF35" w14:textId="77777777" w:rsidTr="2CD0784F">
        <w:trPr>
          <w:trHeight w:val="395"/>
        </w:trPr>
        <w:tc>
          <w:tcPr>
            <w:tcW w:w="985" w:type="dxa"/>
          </w:tcPr>
          <w:p w14:paraId="06F32BAB" w14:textId="5B81B1E5" w:rsidR="00CC4232" w:rsidRPr="009F49B7" w:rsidRDefault="00CC4232" w:rsidP="00CC4232">
            <w:pPr>
              <w:jc w:val="center"/>
              <w:rPr>
                <w:rFonts w:ascii="Verdana" w:hAnsi="Verdana"/>
                <w:b/>
                <w:sz w:val="28"/>
                <w:szCs w:val="28"/>
              </w:rPr>
            </w:pPr>
            <w:r w:rsidRPr="00D03E66">
              <w:rPr>
                <w:rFonts w:ascii="Verdana" w:hAnsi="Verdana"/>
                <w:sz w:val="28"/>
                <w:szCs w:val="28"/>
              </w:rPr>
              <w:t>1</w:t>
            </w:r>
            <w:r>
              <w:rPr>
                <w:rFonts w:ascii="Verdana" w:hAnsi="Verdana"/>
                <w:sz w:val="28"/>
                <w:szCs w:val="28"/>
              </w:rPr>
              <w:t>.</w:t>
            </w:r>
          </w:p>
        </w:tc>
        <w:tc>
          <w:tcPr>
            <w:tcW w:w="6300" w:type="dxa"/>
          </w:tcPr>
          <w:p w14:paraId="3ABFB5BA" w14:textId="46868409" w:rsidR="00CC4232" w:rsidRPr="009F49B7" w:rsidRDefault="00CC4232" w:rsidP="00CC4232">
            <w:pPr>
              <w:autoSpaceDE w:val="0"/>
              <w:autoSpaceDN w:val="0"/>
              <w:adjustRightInd w:val="0"/>
              <w:contextualSpacing/>
              <w:rPr>
                <w:rFonts w:ascii="Verdana" w:hAnsi="Verdana"/>
                <w:sz w:val="28"/>
                <w:szCs w:val="28"/>
              </w:rPr>
            </w:pPr>
            <w:r w:rsidRPr="004376CB">
              <w:rPr>
                <w:rFonts w:ascii="Verdana" w:hAnsi="Verdana"/>
                <w:sz w:val="28"/>
                <w:szCs w:val="28"/>
              </w:rPr>
              <w:t>Implement</w:t>
            </w:r>
            <w:r>
              <w:rPr>
                <w:rFonts w:ascii="Verdana" w:hAnsi="Verdana"/>
                <w:sz w:val="28"/>
                <w:szCs w:val="28"/>
              </w:rPr>
              <w:t>ation of</w:t>
            </w:r>
            <w:r w:rsidRPr="004376CB">
              <w:rPr>
                <w:rFonts w:ascii="Verdana" w:hAnsi="Verdana"/>
                <w:sz w:val="28"/>
                <w:szCs w:val="28"/>
              </w:rPr>
              <w:t xml:space="preserve"> the </w:t>
            </w:r>
            <w:r>
              <w:rPr>
                <w:rFonts w:ascii="Verdana" w:hAnsi="Verdana"/>
                <w:sz w:val="28"/>
                <w:szCs w:val="28"/>
              </w:rPr>
              <w:t xml:space="preserve">APEC </w:t>
            </w:r>
            <w:r w:rsidRPr="004376CB">
              <w:rPr>
                <w:rFonts w:ascii="Verdana" w:hAnsi="Verdana"/>
                <w:sz w:val="28"/>
                <w:szCs w:val="28"/>
              </w:rPr>
              <w:t>Framework for Securing the Digital Economy</w:t>
            </w:r>
            <w:r w:rsidR="00126698">
              <w:rPr>
                <w:rFonts w:ascii="Verdana" w:hAnsi="Verdana"/>
                <w:sz w:val="28"/>
                <w:szCs w:val="28"/>
              </w:rPr>
              <w:t>.</w:t>
            </w:r>
          </w:p>
        </w:tc>
        <w:tc>
          <w:tcPr>
            <w:tcW w:w="7200" w:type="dxa"/>
          </w:tcPr>
          <w:p w14:paraId="23B8675A" w14:textId="77777777" w:rsidR="00CC4232" w:rsidRPr="00951EFB" w:rsidRDefault="00CC4232" w:rsidP="00CC4232">
            <w:pPr>
              <w:pStyle w:val="ListParagraph"/>
              <w:widowControl w:val="0"/>
              <w:numPr>
                <w:ilvl w:val="0"/>
                <w:numId w:val="37"/>
              </w:numPr>
              <w:autoSpaceDE w:val="0"/>
              <w:autoSpaceDN w:val="0"/>
              <w:adjustRightInd w:val="0"/>
              <w:spacing w:after="0" w:line="240" w:lineRule="auto"/>
              <w:contextualSpacing/>
              <w:rPr>
                <w:rFonts w:ascii="Verdana" w:eastAsia="Verdana" w:hAnsi="Verdana" w:cs="Verdana"/>
                <w:color w:val="000000" w:themeColor="text1"/>
                <w:sz w:val="28"/>
                <w:szCs w:val="28"/>
                <w:lang w:eastAsia="ja-JP"/>
              </w:rPr>
            </w:pPr>
            <w:r w:rsidRPr="00951EFB">
              <w:rPr>
                <w:rFonts w:ascii="Verdana" w:eastAsia="Verdana" w:hAnsi="Verdana" w:cs="Verdana"/>
                <w:color w:val="auto"/>
                <w:sz w:val="28"/>
                <w:szCs w:val="28"/>
                <w:lang w:eastAsia="ja-JP"/>
              </w:rPr>
              <w:t>Exchange information and best practices on telecommunications/ ICT confidence building measures and digital security risk management practices.</w:t>
            </w:r>
          </w:p>
          <w:p w14:paraId="7461BDA3" w14:textId="77777777" w:rsidR="00CC4232" w:rsidRPr="00951EFB" w:rsidRDefault="00CC4232" w:rsidP="00CC4232">
            <w:pPr>
              <w:pStyle w:val="ListParagraph"/>
              <w:widowControl w:val="0"/>
              <w:numPr>
                <w:ilvl w:val="0"/>
                <w:numId w:val="37"/>
              </w:numPr>
              <w:autoSpaceDE w:val="0"/>
              <w:autoSpaceDN w:val="0"/>
              <w:adjustRightInd w:val="0"/>
              <w:spacing w:after="0" w:line="240" w:lineRule="auto"/>
              <w:contextualSpacing/>
              <w:rPr>
                <w:rFonts w:ascii="Verdana" w:hAnsi="Verdana"/>
                <w:sz w:val="28"/>
                <w:szCs w:val="28"/>
              </w:rPr>
            </w:pPr>
            <w:r w:rsidRPr="00951EFB">
              <w:rPr>
                <w:rFonts w:ascii="Verdana" w:hAnsi="Verdana"/>
                <w:sz w:val="28"/>
                <w:szCs w:val="28"/>
                <w:lang w:eastAsia="ja-JP"/>
              </w:rPr>
              <w:t>Develop "economy strategies" in consultation with relevant stakeholders.</w:t>
            </w:r>
          </w:p>
          <w:p w14:paraId="67AB717E" w14:textId="4C792BA4" w:rsidR="00CC4232" w:rsidRPr="00CA7D43" w:rsidRDefault="00CC4232" w:rsidP="00CC4232">
            <w:pPr>
              <w:pStyle w:val="ListParagraph"/>
              <w:widowControl w:val="0"/>
              <w:autoSpaceDE w:val="0"/>
              <w:autoSpaceDN w:val="0"/>
              <w:adjustRightInd w:val="0"/>
              <w:spacing w:after="0" w:line="240" w:lineRule="auto"/>
              <w:ind w:left="360"/>
              <w:contextualSpacing/>
              <w:rPr>
                <w:rFonts w:ascii="Verdana" w:hAnsi="Verdana"/>
                <w:sz w:val="28"/>
                <w:szCs w:val="28"/>
              </w:rPr>
            </w:pPr>
          </w:p>
        </w:tc>
      </w:tr>
      <w:tr w:rsidR="00CC4232" w:rsidRPr="009F49B7" w14:paraId="6A4A8D72" w14:textId="77777777" w:rsidTr="2CD0784F">
        <w:trPr>
          <w:trHeight w:val="77"/>
        </w:trPr>
        <w:tc>
          <w:tcPr>
            <w:tcW w:w="985" w:type="dxa"/>
          </w:tcPr>
          <w:p w14:paraId="7372F553" w14:textId="454E52BF" w:rsidR="00CC4232" w:rsidRPr="009F49B7" w:rsidRDefault="00CC4232" w:rsidP="00CC4232">
            <w:pPr>
              <w:jc w:val="center"/>
              <w:rPr>
                <w:rFonts w:ascii="Verdana" w:hAnsi="Verdana"/>
                <w:sz w:val="28"/>
                <w:szCs w:val="28"/>
              </w:rPr>
            </w:pPr>
            <w:r w:rsidRPr="00D03E66">
              <w:rPr>
                <w:rFonts w:ascii="Verdana" w:hAnsi="Verdana"/>
                <w:sz w:val="28"/>
                <w:szCs w:val="28"/>
              </w:rPr>
              <w:t>2</w:t>
            </w:r>
            <w:r>
              <w:rPr>
                <w:rFonts w:ascii="Verdana" w:hAnsi="Verdana"/>
                <w:sz w:val="28"/>
                <w:szCs w:val="28"/>
              </w:rPr>
              <w:t>.</w:t>
            </w:r>
          </w:p>
        </w:tc>
        <w:tc>
          <w:tcPr>
            <w:tcW w:w="6300" w:type="dxa"/>
          </w:tcPr>
          <w:p w14:paraId="066F6097" w14:textId="0DB4BEF0" w:rsidR="00CC4232" w:rsidRPr="009F49B7" w:rsidRDefault="00CC4232" w:rsidP="00CC4232">
            <w:pPr>
              <w:autoSpaceDE w:val="0"/>
              <w:autoSpaceDN w:val="0"/>
              <w:adjustRightInd w:val="0"/>
              <w:ind w:left="6"/>
              <w:contextualSpacing/>
              <w:rPr>
                <w:rFonts w:ascii="Verdana" w:hAnsi="Verdana"/>
                <w:sz w:val="28"/>
                <w:szCs w:val="28"/>
              </w:rPr>
            </w:pPr>
            <w:r>
              <w:rPr>
                <w:rFonts w:ascii="Verdana" w:hAnsi="Verdana"/>
                <w:sz w:val="28"/>
                <w:szCs w:val="28"/>
              </w:rPr>
              <w:t>Promotion of</w:t>
            </w:r>
            <w:r w:rsidRPr="004376CB">
              <w:rPr>
                <w:rFonts w:ascii="Verdana" w:hAnsi="Verdana"/>
                <w:sz w:val="28"/>
                <w:szCs w:val="28"/>
              </w:rPr>
              <w:t xml:space="preserve"> resilience of </w:t>
            </w:r>
            <w:r>
              <w:rPr>
                <w:rFonts w:ascii="Verdana" w:hAnsi="Verdana"/>
                <w:sz w:val="28"/>
                <w:szCs w:val="28"/>
              </w:rPr>
              <w:t>c</w:t>
            </w:r>
            <w:r w:rsidRPr="004376CB">
              <w:rPr>
                <w:rFonts w:ascii="Verdana" w:hAnsi="Verdana"/>
                <w:sz w:val="28"/>
                <w:szCs w:val="28"/>
              </w:rPr>
              <w:t xml:space="preserve">ritical ICT </w:t>
            </w:r>
            <w:r>
              <w:rPr>
                <w:rFonts w:ascii="Verdana" w:hAnsi="Verdana"/>
                <w:sz w:val="28"/>
                <w:szCs w:val="28"/>
              </w:rPr>
              <w:t>i</w:t>
            </w:r>
            <w:r w:rsidRPr="004376CB">
              <w:rPr>
                <w:rFonts w:ascii="Verdana" w:hAnsi="Verdana"/>
                <w:sz w:val="28"/>
                <w:szCs w:val="28"/>
              </w:rPr>
              <w:t>nfrastructure</w:t>
            </w:r>
            <w:r>
              <w:rPr>
                <w:rFonts w:ascii="Verdana" w:hAnsi="Verdana"/>
                <w:sz w:val="28"/>
                <w:szCs w:val="28"/>
              </w:rPr>
              <w:t>,</w:t>
            </w:r>
            <w:r w:rsidRPr="004376CB">
              <w:rPr>
                <w:rFonts w:ascii="Verdana" w:hAnsi="Verdana"/>
                <w:sz w:val="28"/>
                <w:szCs w:val="28"/>
              </w:rPr>
              <w:t xml:space="preserve"> and emergency response</w:t>
            </w:r>
            <w:r>
              <w:rPr>
                <w:rFonts w:ascii="Verdana" w:hAnsi="Verdana"/>
                <w:sz w:val="28"/>
                <w:szCs w:val="28"/>
              </w:rPr>
              <w:t xml:space="preserve"> and </w:t>
            </w:r>
            <w:r w:rsidRPr="004376CB">
              <w:rPr>
                <w:rFonts w:ascii="Verdana" w:hAnsi="Verdana"/>
                <w:sz w:val="28"/>
                <w:szCs w:val="28"/>
              </w:rPr>
              <w:t>preparedness</w:t>
            </w:r>
            <w:r w:rsidR="00126698">
              <w:rPr>
                <w:rFonts w:ascii="Verdana" w:hAnsi="Verdana"/>
                <w:sz w:val="28"/>
                <w:szCs w:val="28"/>
              </w:rPr>
              <w:t>.</w:t>
            </w:r>
          </w:p>
        </w:tc>
        <w:tc>
          <w:tcPr>
            <w:tcW w:w="7200" w:type="dxa"/>
          </w:tcPr>
          <w:p w14:paraId="488E0C84" w14:textId="77777777" w:rsidR="00CC4232" w:rsidRPr="004376CB" w:rsidRDefault="00CC4232" w:rsidP="00CC4232">
            <w:pPr>
              <w:pStyle w:val="ListParagraph"/>
              <w:widowControl w:val="0"/>
              <w:numPr>
                <w:ilvl w:val="0"/>
                <w:numId w:val="39"/>
              </w:numPr>
              <w:autoSpaceDE w:val="0"/>
              <w:autoSpaceDN w:val="0"/>
              <w:adjustRightInd w:val="0"/>
              <w:contextualSpacing/>
              <w:rPr>
                <w:rFonts w:ascii="Verdana" w:hAnsi="Verdana"/>
                <w:sz w:val="28"/>
                <w:szCs w:val="28"/>
              </w:rPr>
            </w:pPr>
            <w:r w:rsidRPr="004376CB">
              <w:rPr>
                <w:rFonts w:ascii="Verdana" w:hAnsi="Verdana"/>
                <w:sz w:val="28"/>
                <w:szCs w:val="28"/>
              </w:rPr>
              <w:t xml:space="preserve">Promote understanding of the importance of greater connectivity </w:t>
            </w:r>
            <w:r>
              <w:rPr>
                <w:rFonts w:ascii="Verdana" w:hAnsi="Verdana"/>
                <w:sz w:val="28"/>
                <w:szCs w:val="28"/>
              </w:rPr>
              <w:t>and enhance resilience of</w:t>
            </w:r>
            <w:r w:rsidRPr="004376CB">
              <w:rPr>
                <w:rFonts w:ascii="Verdana" w:hAnsi="Verdana"/>
                <w:sz w:val="28"/>
                <w:szCs w:val="28"/>
              </w:rPr>
              <w:t xml:space="preserve"> critical domestic infrastructure</w:t>
            </w:r>
            <w:r>
              <w:rPr>
                <w:rFonts w:ascii="Verdana" w:hAnsi="Verdana"/>
                <w:sz w:val="28"/>
                <w:szCs w:val="28"/>
              </w:rPr>
              <w:t>.</w:t>
            </w:r>
            <w:r w:rsidRPr="004376CB">
              <w:rPr>
                <w:rFonts w:ascii="Verdana" w:hAnsi="Verdana"/>
                <w:sz w:val="28"/>
                <w:szCs w:val="28"/>
              </w:rPr>
              <w:t xml:space="preserve"> </w:t>
            </w:r>
          </w:p>
          <w:p w14:paraId="0C82F062" w14:textId="77777777" w:rsidR="00CC4232" w:rsidRPr="004376CB" w:rsidRDefault="00CC4232" w:rsidP="00CC4232">
            <w:pPr>
              <w:pStyle w:val="ListParagraph"/>
              <w:widowControl w:val="0"/>
              <w:numPr>
                <w:ilvl w:val="0"/>
                <w:numId w:val="39"/>
              </w:numPr>
              <w:autoSpaceDE w:val="0"/>
              <w:autoSpaceDN w:val="0"/>
              <w:adjustRightInd w:val="0"/>
              <w:contextualSpacing/>
              <w:rPr>
                <w:rFonts w:ascii="Verdana" w:hAnsi="Verdana"/>
                <w:sz w:val="28"/>
                <w:szCs w:val="28"/>
              </w:rPr>
            </w:pPr>
            <w:r w:rsidRPr="004376CB">
              <w:rPr>
                <w:rFonts w:ascii="Verdana" w:hAnsi="Verdana"/>
                <w:sz w:val="28"/>
                <w:szCs w:val="28"/>
              </w:rPr>
              <w:t>Support the capacity of relevant stakeholders in APEC economies to create resilient networks</w:t>
            </w:r>
            <w:r>
              <w:rPr>
                <w:rFonts w:ascii="Verdana" w:hAnsi="Verdana"/>
                <w:sz w:val="28"/>
                <w:szCs w:val="28"/>
              </w:rPr>
              <w:t>.</w:t>
            </w:r>
            <w:r w:rsidRPr="004376CB">
              <w:rPr>
                <w:rFonts w:ascii="Verdana" w:hAnsi="Verdana"/>
                <w:sz w:val="28"/>
                <w:szCs w:val="28"/>
              </w:rPr>
              <w:t xml:space="preserve"> </w:t>
            </w:r>
          </w:p>
          <w:p w14:paraId="164C9D92" w14:textId="77777777" w:rsidR="00CC4232" w:rsidRDefault="00CC4232" w:rsidP="00CC4232">
            <w:pPr>
              <w:pStyle w:val="ListParagraph"/>
              <w:widowControl w:val="0"/>
              <w:numPr>
                <w:ilvl w:val="0"/>
                <w:numId w:val="39"/>
              </w:numPr>
              <w:autoSpaceDE w:val="0"/>
              <w:autoSpaceDN w:val="0"/>
              <w:adjustRightInd w:val="0"/>
              <w:spacing w:after="0" w:line="240" w:lineRule="auto"/>
              <w:contextualSpacing/>
              <w:rPr>
                <w:rFonts w:ascii="Verdana" w:hAnsi="Verdana"/>
                <w:sz w:val="28"/>
                <w:szCs w:val="28"/>
              </w:rPr>
            </w:pPr>
            <w:r w:rsidRPr="2CD0784F">
              <w:rPr>
                <w:rFonts w:ascii="Verdana" w:hAnsi="Verdana"/>
                <w:sz w:val="28"/>
                <w:szCs w:val="28"/>
              </w:rPr>
              <w:t xml:space="preserve">Examine </w:t>
            </w:r>
            <w:r>
              <w:rPr>
                <w:rFonts w:ascii="Verdana" w:hAnsi="Verdana"/>
                <w:sz w:val="28"/>
                <w:szCs w:val="28"/>
              </w:rPr>
              <w:t xml:space="preserve">and share best practices in </w:t>
            </w:r>
            <w:r w:rsidRPr="2CD0784F">
              <w:rPr>
                <w:rFonts w:ascii="Verdana" w:hAnsi="Verdana"/>
                <w:sz w:val="28"/>
                <w:szCs w:val="28"/>
              </w:rPr>
              <w:t xml:space="preserve">the use of ICTs in </w:t>
            </w:r>
            <w:r>
              <w:rPr>
                <w:rFonts w:ascii="Verdana" w:hAnsi="Verdana"/>
                <w:sz w:val="28"/>
                <w:szCs w:val="28"/>
              </w:rPr>
              <w:t xml:space="preserve">responding to </w:t>
            </w:r>
            <w:r w:rsidRPr="2CD0784F">
              <w:rPr>
                <w:rFonts w:ascii="Verdana" w:hAnsi="Verdana"/>
                <w:sz w:val="28"/>
                <w:szCs w:val="28"/>
              </w:rPr>
              <w:t xml:space="preserve">disaster risk reduction and </w:t>
            </w:r>
            <w:r>
              <w:rPr>
                <w:rFonts w:ascii="Verdana" w:hAnsi="Verdana"/>
                <w:sz w:val="28"/>
                <w:szCs w:val="28"/>
              </w:rPr>
              <w:t>global challenges.</w:t>
            </w:r>
          </w:p>
          <w:p w14:paraId="1445A5D6" w14:textId="77777777" w:rsidR="00CC4232" w:rsidRPr="008F545A" w:rsidRDefault="00CC4232" w:rsidP="00CC4232">
            <w:pPr>
              <w:pStyle w:val="ListParagraph"/>
              <w:numPr>
                <w:ilvl w:val="0"/>
                <w:numId w:val="39"/>
              </w:numPr>
              <w:spacing w:after="0" w:line="240" w:lineRule="auto"/>
              <w:rPr>
                <w:rFonts w:asciiTheme="minorHAnsi" w:eastAsiaTheme="minorEastAsia" w:hAnsiTheme="minorHAnsi" w:cstheme="minorBidi"/>
                <w:color w:val="000000" w:themeColor="text1"/>
                <w:sz w:val="28"/>
                <w:szCs w:val="28"/>
              </w:rPr>
            </w:pPr>
            <w:r w:rsidRPr="2CD0784F">
              <w:rPr>
                <w:rFonts w:ascii="Verdana" w:hAnsi="Verdana"/>
                <w:sz w:val="28"/>
                <w:szCs w:val="28"/>
              </w:rPr>
              <w:t xml:space="preserve">Strengthen Industrial Control Systems (ICS) capacity in the region and share best practices. </w:t>
            </w:r>
          </w:p>
          <w:p w14:paraId="4EF7B445" w14:textId="3C30AF69" w:rsidR="00CC4232" w:rsidRPr="00951EFB" w:rsidRDefault="00CC4232" w:rsidP="00CC4232">
            <w:pPr>
              <w:pStyle w:val="ListParagraph"/>
              <w:numPr>
                <w:ilvl w:val="0"/>
                <w:numId w:val="39"/>
              </w:numPr>
              <w:spacing w:after="0" w:line="240" w:lineRule="auto"/>
              <w:rPr>
                <w:rFonts w:asciiTheme="minorHAnsi" w:eastAsiaTheme="minorEastAsia" w:hAnsiTheme="minorHAnsi" w:cstheme="minorBidi"/>
                <w:color w:val="000000" w:themeColor="text1"/>
                <w:sz w:val="28"/>
                <w:szCs w:val="28"/>
              </w:rPr>
            </w:pPr>
            <w:r>
              <w:rPr>
                <w:rFonts w:ascii="Verdana" w:hAnsi="Verdana"/>
                <w:sz w:val="28"/>
                <w:szCs w:val="28"/>
              </w:rPr>
              <w:t>Share cybersecurity threat information</w:t>
            </w:r>
            <w:r w:rsidR="00122EBB">
              <w:rPr>
                <w:rFonts w:ascii="Verdana" w:hAnsi="Verdana"/>
                <w:sz w:val="28"/>
                <w:szCs w:val="28"/>
              </w:rPr>
              <w:t>.</w:t>
            </w:r>
          </w:p>
          <w:p w14:paraId="0FCB9762" w14:textId="6EA56E99" w:rsidR="00CC4232" w:rsidRDefault="00CC4232" w:rsidP="00CC4232">
            <w:pPr>
              <w:pStyle w:val="ListParagraph"/>
              <w:numPr>
                <w:ilvl w:val="0"/>
                <w:numId w:val="39"/>
              </w:numPr>
              <w:spacing w:after="0" w:line="240" w:lineRule="auto"/>
              <w:rPr>
                <w:rFonts w:asciiTheme="minorHAnsi" w:eastAsiaTheme="minorEastAsia" w:hAnsiTheme="minorHAnsi" w:cstheme="minorBidi"/>
                <w:color w:val="000000" w:themeColor="text1"/>
                <w:sz w:val="28"/>
                <w:szCs w:val="28"/>
              </w:rPr>
            </w:pPr>
            <w:r>
              <w:rPr>
                <w:rFonts w:ascii="Verdana" w:hAnsi="Verdana"/>
                <w:sz w:val="28"/>
                <w:szCs w:val="28"/>
              </w:rPr>
              <w:t>Strengthen cyber incident emergency response collaboration</w:t>
            </w:r>
            <w:r w:rsidR="00126698">
              <w:rPr>
                <w:rFonts w:ascii="Verdana" w:hAnsi="Verdana"/>
                <w:sz w:val="28"/>
                <w:szCs w:val="28"/>
              </w:rPr>
              <w:t>.</w:t>
            </w:r>
          </w:p>
          <w:p w14:paraId="1B356403" w14:textId="69219CA5" w:rsidR="00CC4232" w:rsidRPr="009F49B7" w:rsidRDefault="00CC4232" w:rsidP="00CC4232">
            <w:pPr>
              <w:pStyle w:val="ListParagraph"/>
              <w:widowControl w:val="0"/>
              <w:autoSpaceDE w:val="0"/>
              <w:autoSpaceDN w:val="0"/>
              <w:adjustRightInd w:val="0"/>
              <w:spacing w:after="0" w:line="240" w:lineRule="auto"/>
              <w:ind w:left="0"/>
              <w:contextualSpacing/>
              <w:rPr>
                <w:rFonts w:ascii="Verdana" w:hAnsi="Verdana"/>
                <w:sz w:val="28"/>
                <w:szCs w:val="28"/>
              </w:rPr>
            </w:pPr>
          </w:p>
        </w:tc>
      </w:tr>
      <w:tr w:rsidR="00CC4232" w:rsidRPr="009F49B7" w14:paraId="5A89C5AA" w14:textId="77777777" w:rsidTr="2CD0784F">
        <w:trPr>
          <w:trHeight w:val="305"/>
        </w:trPr>
        <w:tc>
          <w:tcPr>
            <w:tcW w:w="985" w:type="dxa"/>
          </w:tcPr>
          <w:p w14:paraId="49213DC2" w14:textId="35041452" w:rsidR="00CC4232" w:rsidRPr="009F49B7" w:rsidRDefault="00CC4232" w:rsidP="00CC4232">
            <w:pPr>
              <w:jc w:val="center"/>
              <w:rPr>
                <w:rFonts w:ascii="Verdana" w:hAnsi="Verdana"/>
                <w:sz w:val="28"/>
                <w:szCs w:val="28"/>
              </w:rPr>
            </w:pPr>
            <w:r w:rsidRPr="00D03E66">
              <w:rPr>
                <w:rFonts w:ascii="Verdana" w:hAnsi="Verdana"/>
                <w:sz w:val="28"/>
                <w:szCs w:val="28"/>
              </w:rPr>
              <w:t>3</w:t>
            </w:r>
            <w:r>
              <w:rPr>
                <w:rFonts w:ascii="Verdana" w:hAnsi="Verdana"/>
                <w:sz w:val="28"/>
                <w:szCs w:val="28"/>
              </w:rPr>
              <w:t>.</w:t>
            </w:r>
          </w:p>
        </w:tc>
        <w:tc>
          <w:tcPr>
            <w:tcW w:w="6300" w:type="dxa"/>
          </w:tcPr>
          <w:p w14:paraId="29C77B17" w14:textId="092FB046" w:rsidR="00CC4232" w:rsidRDefault="00CC4232" w:rsidP="00CC4232">
            <w:pPr>
              <w:autoSpaceDE w:val="0"/>
              <w:autoSpaceDN w:val="0"/>
              <w:adjustRightInd w:val="0"/>
              <w:contextualSpacing/>
              <w:rPr>
                <w:rFonts w:ascii="Verdana" w:hAnsi="Verdana" w:cstheme="majorHAnsi"/>
                <w:bCs/>
                <w:sz w:val="28"/>
                <w:szCs w:val="28"/>
              </w:rPr>
            </w:pPr>
            <w:r>
              <w:rPr>
                <w:rFonts w:ascii="Verdana" w:hAnsi="Verdana" w:cstheme="majorHAnsi"/>
                <w:bCs/>
                <w:sz w:val="28"/>
                <w:szCs w:val="28"/>
              </w:rPr>
              <w:t>Improved</w:t>
            </w:r>
            <w:r w:rsidRPr="004376CB">
              <w:rPr>
                <w:rFonts w:ascii="Verdana" w:hAnsi="Verdana" w:cstheme="majorHAnsi"/>
                <w:bCs/>
                <w:sz w:val="28"/>
                <w:szCs w:val="28"/>
              </w:rPr>
              <w:t xml:space="preserve"> cybersecurity awareness and capacity </w:t>
            </w:r>
            <w:r>
              <w:rPr>
                <w:rFonts w:ascii="Verdana" w:hAnsi="Verdana" w:cstheme="majorHAnsi"/>
                <w:bCs/>
                <w:sz w:val="28"/>
                <w:szCs w:val="28"/>
              </w:rPr>
              <w:t xml:space="preserve">building </w:t>
            </w:r>
            <w:r w:rsidRPr="004376CB">
              <w:rPr>
                <w:rFonts w:ascii="Verdana" w:hAnsi="Verdana" w:cstheme="majorHAnsi"/>
                <w:bCs/>
                <w:sz w:val="28"/>
                <w:szCs w:val="28"/>
              </w:rPr>
              <w:t>among ICT users</w:t>
            </w:r>
            <w:r>
              <w:rPr>
                <w:rFonts w:ascii="Verdana" w:hAnsi="Verdana" w:cstheme="majorHAnsi"/>
                <w:bCs/>
                <w:sz w:val="28"/>
                <w:szCs w:val="28"/>
              </w:rPr>
              <w:t xml:space="preserve">, including consumers, private sector, policymakers, and other relevant stakeholders, in coordination with the cybersecurity industry </w:t>
            </w:r>
            <w:r w:rsidRPr="00F77288">
              <w:rPr>
                <w:rFonts w:ascii="Verdana" w:hAnsi="Verdana" w:cstheme="majorHAnsi"/>
                <w:bCs/>
                <w:sz w:val="28"/>
                <w:szCs w:val="28"/>
              </w:rPr>
              <w:t xml:space="preserve">to facilitate the creation of a </w:t>
            </w:r>
            <w:r>
              <w:rPr>
                <w:rFonts w:ascii="Verdana" w:hAnsi="Verdana" w:cstheme="majorHAnsi"/>
                <w:bCs/>
                <w:sz w:val="28"/>
                <w:szCs w:val="28"/>
              </w:rPr>
              <w:t xml:space="preserve">secure and </w:t>
            </w:r>
            <w:r w:rsidRPr="00F77288">
              <w:rPr>
                <w:rFonts w:ascii="Verdana" w:hAnsi="Verdana" w:cstheme="majorHAnsi"/>
                <w:bCs/>
                <w:sz w:val="28"/>
                <w:szCs w:val="28"/>
              </w:rPr>
              <w:t>trusted environment for transactions and communications</w:t>
            </w:r>
            <w:r w:rsidR="00126698">
              <w:rPr>
                <w:rFonts w:ascii="Verdana" w:hAnsi="Verdana" w:cstheme="majorHAnsi"/>
                <w:bCs/>
                <w:sz w:val="28"/>
                <w:szCs w:val="28"/>
              </w:rPr>
              <w:t>.</w:t>
            </w:r>
          </w:p>
          <w:p w14:paraId="2A04DB88" w14:textId="7348B04B" w:rsidR="00CC4232" w:rsidRPr="009F49B7" w:rsidRDefault="00CC4232" w:rsidP="00CC4232">
            <w:pPr>
              <w:autoSpaceDE w:val="0"/>
              <w:autoSpaceDN w:val="0"/>
              <w:adjustRightInd w:val="0"/>
              <w:contextualSpacing/>
              <w:rPr>
                <w:rFonts w:ascii="Verdana" w:hAnsi="Verdana" w:cstheme="majorHAnsi"/>
                <w:bCs/>
                <w:sz w:val="28"/>
                <w:szCs w:val="28"/>
                <w:lang w:val="en-NZ"/>
              </w:rPr>
            </w:pPr>
          </w:p>
        </w:tc>
        <w:tc>
          <w:tcPr>
            <w:tcW w:w="7200" w:type="dxa"/>
          </w:tcPr>
          <w:p w14:paraId="4D3F5581" w14:textId="387292C2" w:rsidR="00CC4232" w:rsidRPr="004376CB" w:rsidRDefault="00CC4232" w:rsidP="00CC4232">
            <w:pPr>
              <w:pStyle w:val="ListParagraph"/>
              <w:widowControl w:val="0"/>
              <w:numPr>
                <w:ilvl w:val="0"/>
                <w:numId w:val="38"/>
              </w:numPr>
              <w:autoSpaceDE w:val="0"/>
              <w:autoSpaceDN w:val="0"/>
              <w:adjustRightInd w:val="0"/>
              <w:contextualSpacing/>
              <w:rPr>
                <w:rFonts w:ascii="Verdana" w:hAnsi="Verdana" w:cstheme="majorHAnsi"/>
                <w:bCs/>
                <w:sz w:val="28"/>
                <w:szCs w:val="28"/>
              </w:rPr>
            </w:pPr>
            <w:r>
              <w:rPr>
                <w:rFonts w:ascii="Verdana" w:hAnsi="Verdana" w:cstheme="majorHAnsi"/>
                <w:bCs/>
                <w:sz w:val="28"/>
                <w:szCs w:val="28"/>
              </w:rPr>
              <w:t xml:space="preserve">Implement the </w:t>
            </w:r>
            <w:r w:rsidRPr="004376CB">
              <w:rPr>
                <w:rFonts w:ascii="Verdana" w:hAnsi="Verdana" w:cstheme="majorHAnsi"/>
                <w:bCs/>
                <w:sz w:val="28"/>
                <w:szCs w:val="28"/>
              </w:rPr>
              <w:t>APEC cybersecurity awareness day</w:t>
            </w:r>
            <w:r w:rsidR="00330CA1">
              <w:rPr>
                <w:rFonts w:ascii="Verdana" w:hAnsi="Verdana" w:cstheme="majorHAnsi"/>
                <w:bCs/>
                <w:sz w:val="28"/>
                <w:szCs w:val="28"/>
              </w:rPr>
              <w:t>.</w:t>
            </w:r>
            <w:r w:rsidRPr="004376CB">
              <w:rPr>
                <w:rFonts w:ascii="Verdana" w:hAnsi="Verdana" w:cstheme="majorHAnsi"/>
                <w:bCs/>
                <w:sz w:val="28"/>
                <w:szCs w:val="28"/>
              </w:rPr>
              <w:t xml:space="preserve"> </w:t>
            </w:r>
          </w:p>
          <w:p w14:paraId="11C016AC" w14:textId="6C9C17FF" w:rsidR="00CC4232" w:rsidRPr="004376CB" w:rsidRDefault="00CC4232" w:rsidP="00CC4232">
            <w:pPr>
              <w:pStyle w:val="ListParagraph"/>
              <w:widowControl w:val="0"/>
              <w:numPr>
                <w:ilvl w:val="0"/>
                <w:numId w:val="38"/>
              </w:numPr>
              <w:autoSpaceDE w:val="0"/>
              <w:autoSpaceDN w:val="0"/>
              <w:adjustRightInd w:val="0"/>
              <w:contextualSpacing/>
              <w:rPr>
                <w:rFonts w:ascii="Verdana" w:hAnsi="Verdana" w:cstheme="majorHAnsi"/>
                <w:bCs/>
                <w:sz w:val="28"/>
                <w:szCs w:val="28"/>
              </w:rPr>
            </w:pPr>
            <w:r>
              <w:rPr>
                <w:rFonts w:ascii="Verdana" w:hAnsi="Verdana" w:cstheme="majorHAnsi"/>
                <w:bCs/>
                <w:sz w:val="28"/>
                <w:szCs w:val="28"/>
              </w:rPr>
              <w:t>Implement c</w:t>
            </w:r>
            <w:r w:rsidRPr="004376CB">
              <w:rPr>
                <w:rFonts w:ascii="Verdana" w:hAnsi="Verdana" w:cstheme="majorHAnsi"/>
                <w:bCs/>
                <w:sz w:val="28"/>
                <w:szCs w:val="28"/>
              </w:rPr>
              <w:t>ybersecurity education at all levels</w:t>
            </w:r>
            <w:r w:rsidR="00330CA1">
              <w:rPr>
                <w:rFonts w:ascii="Verdana" w:hAnsi="Verdana" w:cstheme="majorHAnsi"/>
                <w:bCs/>
                <w:sz w:val="28"/>
                <w:szCs w:val="28"/>
              </w:rPr>
              <w:t>.</w:t>
            </w:r>
            <w:r w:rsidRPr="004376CB">
              <w:rPr>
                <w:rFonts w:ascii="Verdana" w:hAnsi="Verdana" w:cstheme="majorHAnsi"/>
                <w:bCs/>
                <w:sz w:val="28"/>
                <w:szCs w:val="28"/>
              </w:rPr>
              <w:t xml:space="preserve"> </w:t>
            </w:r>
          </w:p>
          <w:p w14:paraId="1132920A" w14:textId="376C024B" w:rsidR="00CC4232" w:rsidRDefault="00CC4232" w:rsidP="00CC4232">
            <w:pPr>
              <w:pStyle w:val="ListParagraph"/>
              <w:widowControl w:val="0"/>
              <w:numPr>
                <w:ilvl w:val="0"/>
                <w:numId w:val="38"/>
              </w:numPr>
              <w:autoSpaceDE w:val="0"/>
              <w:autoSpaceDN w:val="0"/>
              <w:adjustRightInd w:val="0"/>
              <w:spacing w:after="0" w:line="240" w:lineRule="auto"/>
              <w:contextualSpacing/>
              <w:rPr>
                <w:rFonts w:ascii="Verdana" w:hAnsi="Verdana" w:cstheme="majorHAnsi"/>
                <w:bCs/>
                <w:sz w:val="28"/>
                <w:szCs w:val="28"/>
              </w:rPr>
            </w:pPr>
            <w:r w:rsidRPr="004376CB">
              <w:rPr>
                <w:rFonts w:ascii="Verdana" w:hAnsi="Verdana" w:cstheme="majorHAnsi"/>
                <w:bCs/>
                <w:sz w:val="28"/>
                <w:szCs w:val="28"/>
              </w:rPr>
              <w:t>Promote consumer confidence</w:t>
            </w:r>
            <w:r>
              <w:rPr>
                <w:rFonts w:ascii="Verdana" w:hAnsi="Verdana" w:cstheme="majorHAnsi"/>
                <w:bCs/>
                <w:sz w:val="28"/>
                <w:szCs w:val="28"/>
              </w:rPr>
              <w:t xml:space="preserve"> and trust</w:t>
            </w:r>
            <w:r w:rsidRPr="004376CB">
              <w:rPr>
                <w:rFonts w:ascii="Verdana" w:hAnsi="Verdana" w:cstheme="majorHAnsi"/>
                <w:bCs/>
                <w:sz w:val="28"/>
                <w:szCs w:val="28"/>
              </w:rPr>
              <w:t xml:space="preserve"> in the use of ICTs</w:t>
            </w:r>
            <w:r w:rsidR="00D768C6">
              <w:rPr>
                <w:rFonts w:ascii="Verdana" w:hAnsi="Verdana" w:cstheme="majorHAnsi"/>
                <w:bCs/>
                <w:sz w:val="28"/>
                <w:szCs w:val="28"/>
              </w:rPr>
              <w:t xml:space="preserve">. </w:t>
            </w:r>
          </w:p>
          <w:p w14:paraId="5C193D08" w14:textId="7B131896" w:rsidR="00CC4232" w:rsidRDefault="00CC4232" w:rsidP="00CC4232">
            <w:pPr>
              <w:pStyle w:val="ListParagraph"/>
              <w:widowControl w:val="0"/>
              <w:numPr>
                <w:ilvl w:val="0"/>
                <w:numId w:val="38"/>
              </w:numPr>
              <w:autoSpaceDE w:val="0"/>
              <w:autoSpaceDN w:val="0"/>
              <w:adjustRightInd w:val="0"/>
              <w:spacing w:after="0" w:line="240" w:lineRule="auto"/>
              <w:contextualSpacing/>
              <w:rPr>
                <w:rFonts w:ascii="Verdana" w:hAnsi="Verdana" w:cstheme="majorHAnsi"/>
                <w:bCs/>
                <w:sz w:val="28"/>
                <w:szCs w:val="28"/>
              </w:rPr>
            </w:pPr>
            <w:r>
              <w:rPr>
                <w:rFonts w:ascii="Verdana" w:hAnsi="Verdana" w:cstheme="majorHAnsi"/>
                <w:bCs/>
                <w:sz w:val="28"/>
                <w:szCs w:val="28"/>
                <w:lang w:eastAsia="ja-JP"/>
              </w:rPr>
              <w:t xml:space="preserve">Exchange </w:t>
            </w:r>
            <w:r w:rsidRPr="00427DAE">
              <w:rPr>
                <w:rFonts w:ascii="Verdana" w:hAnsi="Verdana" w:cstheme="majorHAnsi"/>
                <w:bCs/>
                <w:sz w:val="28"/>
                <w:szCs w:val="28"/>
                <w:lang w:eastAsia="ja-JP"/>
              </w:rPr>
              <w:t xml:space="preserve">information and best practices on cybersecurity challenges and response </w:t>
            </w:r>
            <w:r>
              <w:rPr>
                <w:rFonts w:ascii="Verdana" w:hAnsi="Verdana" w:cstheme="majorHAnsi"/>
                <w:bCs/>
                <w:sz w:val="28"/>
                <w:szCs w:val="28"/>
                <w:lang w:eastAsia="ja-JP"/>
              </w:rPr>
              <w:t>with the aim at enhancing regional cybersecurity cooperation</w:t>
            </w:r>
            <w:r w:rsidR="00330CA1">
              <w:rPr>
                <w:rFonts w:ascii="Verdana" w:hAnsi="Verdana" w:cstheme="majorHAnsi"/>
                <w:bCs/>
                <w:sz w:val="28"/>
                <w:szCs w:val="28"/>
                <w:lang w:eastAsia="ja-JP"/>
              </w:rPr>
              <w:t>.</w:t>
            </w:r>
          </w:p>
          <w:p w14:paraId="4F474CF9" w14:textId="516D60D5" w:rsidR="00CC4232" w:rsidRDefault="00CC4232" w:rsidP="00CC4232">
            <w:pPr>
              <w:pStyle w:val="ListParagraph"/>
              <w:widowControl w:val="0"/>
              <w:numPr>
                <w:ilvl w:val="0"/>
                <w:numId w:val="38"/>
              </w:numPr>
              <w:autoSpaceDE w:val="0"/>
              <w:autoSpaceDN w:val="0"/>
              <w:adjustRightInd w:val="0"/>
              <w:spacing w:after="0" w:line="240" w:lineRule="auto"/>
              <w:contextualSpacing/>
              <w:rPr>
                <w:rFonts w:ascii="Verdana" w:hAnsi="Verdana" w:cstheme="majorHAnsi"/>
                <w:bCs/>
                <w:sz w:val="28"/>
                <w:szCs w:val="28"/>
              </w:rPr>
            </w:pPr>
            <w:r>
              <w:rPr>
                <w:rFonts w:ascii="Verdana" w:hAnsi="Verdana" w:cstheme="majorHAnsi"/>
                <w:bCs/>
                <w:sz w:val="28"/>
                <w:szCs w:val="28"/>
                <w:lang w:eastAsia="ja-JP"/>
              </w:rPr>
              <w:t>Promote regular cybersecurity collaboration and dialogues between governments, business community and consumers</w:t>
            </w:r>
            <w:r w:rsidR="00330CA1">
              <w:rPr>
                <w:rFonts w:ascii="Verdana" w:hAnsi="Verdana" w:cstheme="majorHAnsi"/>
                <w:bCs/>
                <w:sz w:val="28"/>
                <w:szCs w:val="28"/>
                <w:lang w:eastAsia="ja-JP"/>
              </w:rPr>
              <w:t>.</w:t>
            </w:r>
          </w:p>
          <w:p w14:paraId="7D60C9F7" w14:textId="77777777" w:rsidR="00CC4232" w:rsidRPr="00E84A1B" w:rsidRDefault="00CC4232" w:rsidP="00CC4232">
            <w:pPr>
              <w:pStyle w:val="ListParagraph"/>
              <w:widowControl w:val="0"/>
              <w:numPr>
                <w:ilvl w:val="0"/>
                <w:numId w:val="38"/>
              </w:numPr>
              <w:autoSpaceDE w:val="0"/>
              <w:autoSpaceDN w:val="0"/>
              <w:adjustRightInd w:val="0"/>
              <w:spacing w:after="0" w:line="240" w:lineRule="auto"/>
              <w:contextualSpacing/>
              <w:rPr>
                <w:rFonts w:ascii="Verdana" w:hAnsi="Verdana" w:cstheme="majorHAnsi"/>
                <w:bCs/>
                <w:color w:val="auto"/>
                <w:sz w:val="28"/>
                <w:szCs w:val="28"/>
              </w:rPr>
            </w:pPr>
            <w:r w:rsidRPr="00E84A1B">
              <w:rPr>
                <w:rFonts w:ascii="Verdana" w:eastAsia="Verdana" w:hAnsi="Verdana" w:cs="Verdana"/>
                <w:color w:val="auto"/>
                <w:sz w:val="28"/>
                <w:szCs w:val="28"/>
              </w:rPr>
              <w:t>Promote policy and regulatory frameworks that strengthen the capacities of Member Economies to combat</w:t>
            </w:r>
            <w:r w:rsidRPr="00E84A1B">
              <w:rPr>
                <w:rFonts w:ascii="Malgun Gothic" w:eastAsia="Malgun Gothic" w:hAnsi="Malgun Gothic" w:cs="Verdana"/>
                <w:color w:val="auto"/>
                <w:sz w:val="28"/>
                <w:szCs w:val="28"/>
                <w:lang w:eastAsia="ko-KR"/>
              </w:rPr>
              <w:t xml:space="preserve"> </w:t>
            </w:r>
            <w:r w:rsidRPr="00E84A1B">
              <w:rPr>
                <w:rFonts w:ascii="Verdana" w:hAnsi="Verdana" w:cstheme="majorBidi"/>
                <w:color w:val="auto"/>
                <w:sz w:val="28"/>
                <w:szCs w:val="28"/>
                <w:lang w:val="en-NZ"/>
              </w:rPr>
              <w:t>cybersecurity risks.</w:t>
            </w:r>
            <w:r w:rsidRPr="00E84A1B">
              <w:rPr>
                <w:rFonts w:ascii="Verdana" w:hAnsi="Verdana" w:cstheme="majorHAnsi"/>
                <w:bCs/>
                <w:color w:val="auto"/>
                <w:sz w:val="28"/>
                <w:szCs w:val="28"/>
                <w:lang w:eastAsia="ja-JP"/>
              </w:rPr>
              <w:t xml:space="preserve"> </w:t>
            </w:r>
          </w:p>
          <w:p w14:paraId="1766B711" w14:textId="2DF04B21" w:rsidR="00CC4232" w:rsidRPr="009F49B7" w:rsidRDefault="00CC4232" w:rsidP="00CC4232">
            <w:pPr>
              <w:pStyle w:val="ListParagraph"/>
              <w:widowControl w:val="0"/>
              <w:autoSpaceDE w:val="0"/>
              <w:autoSpaceDN w:val="0"/>
              <w:adjustRightInd w:val="0"/>
              <w:spacing w:after="0" w:line="240" w:lineRule="auto"/>
              <w:ind w:left="360"/>
              <w:contextualSpacing/>
              <w:rPr>
                <w:rFonts w:ascii="Verdana" w:hAnsi="Verdana" w:cstheme="majorHAnsi"/>
                <w:bCs/>
                <w:sz w:val="28"/>
                <w:szCs w:val="28"/>
                <w:lang w:val="en-NZ"/>
              </w:rPr>
            </w:pPr>
          </w:p>
        </w:tc>
      </w:tr>
    </w:tbl>
    <w:p w14:paraId="1C9956FE" w14:textId="7C390181" w:rsidR="00D954B3" w:rsidRPr="009F49B7" w:rsidRDefault="00D954B3">
      <w:pPr>
        <w:rPr>
          <w:sz w:val="28"/>
          <w:szCs w:val="28"/>
        </w:rPr>
      </w:pPr>
    </w:p>
    <w:sectPr w:rsidR="00D954B3" w:rsidRPr="009F49B7" w:rsidSect="009E68D0">
      <w:headerReference w:type="default" r:id="rId11"/>
      <w:footerReference w:type="default" r:id="rId12"/>
      <w:pgSz w:w="16838" w:h="23811" w:code="8"/>
      <w:pgMar w:top="1166" w:right="1080" w:bottom="1440" w:left="1080" w:header="706" w:footer="706" w:gutter="0"/>
      <w:lnNumType w:countBy="1" w:restart="continuous"/>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71AF" w16cex:dateUtc="2020-08-25T15:17:00Z"/>
  <w16cex:commentExtensible w16cex:durableId="22EF7439" w16cex:dateUtc="2020-08-25T15:27:00Z"/>
  <w16cex:commentExtensible w16cex:durableId="22EF730F" w16cex:dateUtc="2020-08-25T15:22:00Z"/>
  <w16cex:commentExtensible w16cex:durableId="22EF7481" w16cex:dateUtc="2020-08-25T15:29:00Z"/>
  <w16cex:commentExtensible w16cex:durableId="22EF765A" w16cex:dateUtc="2020-08-25T15:36:00Z"/>
  <w16cex:commentExtensible w16cex:durableId="22EF76C7" w16cex:dateUtc="2020-08-25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27E05E" w16cid:durableId="22E0FD1E"/>
  <w16cid:commentId w16cid:paraId="39653634" w16cid:durableId="22EF71AF"/>
  <w16cid:commentId w16cid:paraId="60779C23" w16cid:durableId="22E0FD1F"/>
  <w16cid:commentId w16cid:paraId="366FEF2E" w16cid:durableId="22E0FD20"/>
  <w16cid:commentId w16cid:paraId="4FD78A44" w16cid:durableId="22E0FD21"/>
  <w16cid:commentId w16cid:paraId="7F7F58A3" w16cid:durableId="22E0FD22"/>
  <w16cid:commentId w16cid:paraId="15271954" w16cid:durableId="22E0FD23"/>
  <w16cid:commentId w16cid:paraId="440B1BD5" w16cid:durableId="22EF7439"/>
  <w16cid:commentId w16cid:paraId="59798BA8" w16cid:durableId="22EF730F"/>
  <w16cid:commentId w16cid:paraId="557653D4" w16cid:durableId="22E0FD24"/>
  <w16cid:commentId w16cid:paraId="00FC057C" w16cid:durableId="22EF7481"/>
  <w16cid:commentId w16cid:paraId="6F358AEF" w16cid:durableId="22E0FD25"/>
  <w16cid:commentId w16cid:paraId="2837BFA6" w16cid:durableId="22E0FD26"/>
  <w16cid:commentId w16cid:paraId="4EF24376" w16cid:durableId="22EF765A"/>
  <w16cid:commentId w16cid:paraId="4F51E683" w16cid:durableId="22E0FD27"/>
  <w16cid:commentId w16cid:paraId="31DA167D" w16cid:durableId="22E0FD28"/>
  <w16cid:commentId w16cid:paraId="5A9A36E3" w16cid:durableId="22E0FD29"/>
  <w16cid:commentId w16cid:paraId="12B67B25" w16cid:durableId="22E0FD2A"/>
  <w16cid:commentId w16cid:paraId="4A761C71" w16cid:durableId="22E0FD2B"/>
  <w16cid:commentId w16cid:paraId="1C300DCD" w16cid:durableId="22EF76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76A22" w14:textId="77777777" w:rsidR="00630150" w:rsidRDefault="00630150" w:rsidP="009E68D0">
      <w:r>
        <w:separator/>
      </w:r>
    </w:p>
  </w:endnote>
  <w:endnote w:type="continuationSeparator" w:id="0">
    <w:p w14:paraId="0EF6F463" w14:textId="77777777" w:rsidR="00630150" w:rsidRDefault="00630150" w:rsidP="009E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B74CE" w14:textId="5B1F1FD8" w:rsidR="009E68D0" w:rsidRPr="008B5C7E" w:rsidRDefault="009E68D0">
    <w:pPr>
      <w:pStyle w:val="Footer"/>
      <w:jc w:val="right"/>
      <w:rPr>
        <w:rFonts w:ascii="Verdana" w:hAnsi="Verdana"/>
        <w:sz w:val="18"/>
        <w:szCs w:val="18"/>
      </w:rPr>
    </w:pPr>
    <w:r>
      <w:rPr>
        <w:rFonts w:ascii="Verdana" w:hAnsi="Verdana"/>
        <w:noProof/>
        <w:sz w:val="18"/>
        <w:szCs w:val="18"/>
        <w:bdr w:val="none" w:sz="0" w:space="0" w:color="auto"/>
        <w:lang w:eastAsia="zh-CN"/>
      </w:rPr>
      <mc:AlternateContent>
        <mc:Choice Requires="wps">
          <w:drawing>
            <wp:anchor distT="0" distB="0" distL="114300" distR="114300" simplePos="0" relativeHeight="251659264" behindDoc="0" locked="0" layoutInCell="0" allowOverlap="1" wp14:anchorId="6351F2B0" wp14:editId="59D82294">
              <wp:simplePos x="0" y="0"/>
              <wp:positionH relativeFrom="page">
                <wp:posOffset>0</wp:posOffset>
              </wp:positionH>
              <wp:positionV relativeFrom="page">
                <wp:posOffset>14662785</wp:posOffset>
              </wp:positionV>
              <wp:extent cx="10692130" cy="266700"/>
              <wp:effectExtent l="0" t="0" r="0" b="0"/>
              <wp:wrapNone/>
              <wp:docPr id="1" name="MSIPCM8742435499f09552e2644f89" descr="{&quot;HashCode&quot;:-1076561164,&quot;Height&quot;:1190.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3AB6F5" w14:textId="64F55546" w:rsidR="009E68D0" w:rsidRPr="003645D3" w:rsidRDefault="009E68D0" w:rsidP="009E68D0">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51F2B0" id="_x0000_t202" coordsize="21600,21600" o:spt="202" path="m,l,21600r21600,l21600,xe">
              <v:stroke joinstyle="miter"/>
              <v:path gradientshapeok="t" o:connecttype="rect"/>
            </v:shapetype>
            <v:shape id="MSIPCM8742435499f09552e2644f89" o:spid="_x0000_s1026" type="#_x0000_t202" alt="{&quot;HashCode&quot;:-1076561164,&quot;Height&quot;:1190.0,&quot;Width&quot;:841.0,&quot;Placement&quot;:&quot;Footer&quot;,&quot;Index&quot;:&quot;Primary&quot;,&quot;Section&quot;:1,&quot;Top&quot;:0.0,&quot;Left&quot;:0.0}" style="position:absolute;left:0;text-align:left;margin-left:0;margin-top:1154.55pt;width:841.9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" o:allowincell="f" filled="f" stroked="f" strokeweight=".5pt">
              <v:textbox inset="20pt,0,,0">
                <w:txbxContent>
                  <w:p w14:paraId="7D3AB6F5" w14:textId="64F55546" w:rsidR="009E68D0" w:rsidRPr="003645D3" w:rsidRDefault="009E68D0" w:rsidP="009E68D0">
                    <w:pPr>
                      <w:rPr>
                        <w:rFonts w:ascii="Calibri" w:hAnsi="Calibri" w:cs="Calibri"/>
                        <w:color w:val="000000"/>
                        <w:sz w:val="20"/>
                      </w:rPr>
                    </w:pPr>
                  </w:p>
                </w:txbxContent>
              </v:textbox>
              <w10:wrap anchorx="page" anchory="page"/>
            </v:shape>
          </w:pict>
        </mc:Fallback>
      </mc:AlternateContent>
    </w:r>
    <w:r w:rsidRPr="008B5C7E">
      <w:rPr>
        <w:rFonts w:ascii="Verdana" w:hAnsi="Verdana"/>
        <w:sz w:val="18"/>
        <w:szCs w:val="18"/>
      </w:rPr>
      <w:fldChar w:fldCharType="begin"/>
    </w:r>
    <w:r w:rsidRPr="008B5C7E">
      <w:rPr>
        <w:rFonts w:ascii="Verdana" w:hAnsi="Verdana"/>
        <w:sz w:val="18"/>
        <w:szCs w:val="18"/>
      </w:rPr>
      <w:instrText xml:space="preserve"> PAGE </w:instrText>
    </w:r>
    <w:r w:rsidRPr="008B5C7E">
      <w:rPr>
        <w:rFonts w:ascii="Verdana" w:hAnsi="Verdana"/>
        <w:sz w:val="18"/>
        <w:szCs w:val="18"/>
      </w:rPr>
      <w:fldChar w:fldCharType="separate"/>
    </w:r>
    <w:r w:rsidR="00806A6C">
      <w:rPr>
        <w:rFonts w:ascii="Verdana" w:hAnsi="Verdana"/>
        <w:noProof/>
        <w:sz w:val="18"/>
        <w:szCs w:val="18"/>
      </w:rPr>
      <w:t>5</w:t>
    </w:r>
    <w:r w:rsidRPr="008B5C7E">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7E26C" w14:textId="77777777" w:rsidR="00630150" w:rsidRDefault="00630150" w:rsidP="009E68D0">
      <w:r>
        <w:separator/>
      </w:r>
    </w:p>
  </w:footnote>
  <w:footnote w:type="continuationSeparator" w:id="0">
    <w:p w14:paraId="4A3BB8EC" w14:textId="77777777" w:rsidR="00630150" w:rsidRDefault="00630150" w:rsidP="009E6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B008" w14:textId="77777777" w:rsidR="009E68D0" w:rsidRDefault="009E68D0">
    <w:pPr>
      <w:pStyle w:val="Header"/>
      <w:jc w:val="center"/>
      <w:rPr>
        <w:b/>
        <w:bCs/>
      </w:rPr>
    </w:pPr>
    <w:r>
      <w:rPr>
        <w:b/>
        <w:bCs/>
      </w:rPr>
      <w:t>APEC Telecommunications and Information Working Group</w:t>
    </w:r>
  </w:p>
  <w:p w14:paraId="040F037E" w14:textId="77777777" w:rsidR="009E68D0" w:rsidRDefault="009E68D0">
    <w:pPr>
      <w:pStyle w:val="Header"/>
      <w:jc w:val="center"/>
      <w:rPr>
        <w:b/>
        <w:bCs/>
      </w:rPr>
    </w:pPr>
    <w:r>
      <w:rPr>
        <w:b/>
        <w:bCs/>
      </w:rPr>
      <w:t>Strategic Action Plan [2021 – 2025]</w:t>
    </w:r>
  </w:p>
  <w:p w14:paraId="4F05B16B" w14:textId="183159CE" w:rsidR="009E68D0" w:rsidRPr="002E3FAD" w:rsidRDefault="00A968DA">
    <w:pPr>
      <w:pStyle w:val="Header"/>
      <w:jc w:val="right"/>
      <w:rPr>
        <w:rFonts w:cs="Arial"/>
        <w:b/>
        <w:i/>
        <w:sz w:val="20"/>
        <w:szCs w:val="20"/>
      </w:rPr>
    </w:pPr>
    <w:r>
      <w:rPr>
        <w:rFonts w:cs="Arial"/>
        <w:b/>
        <w:i/>
        <w:sz w:val="20"/>
        <w:szCs w:val="20"/>
      </w:rPr>
      <w:t>14</w:t>
    </w:r>
    <w:r w:rsidR="007D484F">
      <w:rPr>
        <w:rFonts w:cs="Arial"/>
        <w:b/>
        <w:i/>
        <w:sz w:val="20"/>
        <w:szCs w:val="20"/>
      </w:rPr>
      <w:t xml:space="preserve"> Oct. </w:t>
    </w:r>
    <w:r w:rsidR="00D659F1">
      <w:rPr>
        <w:rFonts w:cs="Arial"/>
        <w:b/>
        <w:i/>
        <w:sz w:val="20"/>
        <w:szCs w:val="20"/>
      </w:rPr>
      <w:t>2020</w:t>
    </w:r>
  </w:p>
  <w:p w14:paraId="28743C00" w14:textId="77777777" w:rsidR="009E68D0" w:rsidRDefault="009E68D0">
    <w:pPr>
      <w:pStyle w:val="Header"/>
      <w:jc w:val="right"/>
    </w:pPr>
    <w:r>
      <w:rPr>
        <w:rFonts w:ascii="Cambria" w:eastAsia="Cambria" w:hAnsi="Cambria" w:cs="Cambria"/>
        <w:i/>
        <w:iCs/>
      </w:rPr>
      <w:t>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0FB"/>
    <w:multiLevelType w:val="hybridMultilevel"/>
    <w:tmpl w:val="EC60D0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BF2D6E"/>
    <w:multiLevelType w:val="hybridMultilevel"/>
    <w:tmpl w:val="2E1084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71C76"/>
    <w:multiLevelType w:val="hybridMultilevel"/>
    <w:tmpl w:val="01EAB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CB4D3D"/>
    <w:multiLevelType w:val="hybridMultilevel"/>
    <w:tmpl w:val="D388B9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B69FE"/>
    <w:multiLevelType w:val="hybridMultilevel"/>
    <w:tmpl w:val="E9B6AF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D821A1"/>
    <w:multiLevelType w:val="hybridMultilevel"/>
    <w:tmpl w:val="C92894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F328EB"/>
    <w:multiLevelType w:val="hybridMultilevel"/>
    <w:tmpl w:val="E4E6F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D10E4D"/>
    <w:multiLevelType w:val="hybridMultilevel"/>
    <w:tmpl w:val="AB8EF4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8C4630"/>
    <w:multiLevelType w:val="multilevel"/>
    <w:tmpl w:val="C6EE32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A6731B8"/>
    <w:multiLevelType w:val="hybridMultilevel"/>
    <w:tmpl w:val="292A73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5A45F5"/>
    <w:multiLevelType w:val="hybridMultilevel"/>
    <w:tmpl w:val="3A4E39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8B60F9"/>
    <w:multiLevelType w:val="hybridMultilevel"/>
    <w:tmpl w:val="F8009F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064796"/>
    <w:multiLevelType w:val="hybridMultilevel"/>
    <w:tmpl w:val="053ACA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070024"/>
    <w:multiLevelType w:val="hybridMultilevel"/>
    <w:tmpl w:val="33D27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920C09"/>
    <w:multiLevelType w:val="multilevel"/>
    <w:tmpl w:val="BB821D5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5EE500A"/>
    <w:multiLevelType w:val="hybridMultilevel"/>
    <w:tmpl w:val="BA500B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706D8D"/>
    <w:multiLevelType w:val="multilevel"/>
    <w:tmpl w:val="EF3A2EE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5C9748EA"/>
    <w:multiLevelType w:val="hybridMultilevel"/>
    <w:tmpl w:val="1124D8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5108C8"/>
    <w:multiLevelType w:val="hybridMultilevel"/>
    <w:tmpl w:val="13C4BA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2472C7"/>
    <w:multiLevelType w:val="hybridMultilevel"/>
    <w:tmpl w:val="0CD497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897CDD"/>
    <w:multiLevelType w:val="hybridMultilevel"/>
    <w:tmpl w:val="6124FFAE"/>
    <w:lvl w:ilvl="0" w:tplc="04090005">
      <w:start w:val="1"/>
      <w:numFmt w:val="bullet"/>
      <w:lvlText w:val=""/>
      <w:lvlJc w:val="left"/>
      <w:pPr>
        <w:ind w:left="290" w:hanging="360"/>
      </w:pPr>
      <w:rPr>
        <w:rFonts w:ascii="Wingdings" w:hAnsi="Wingdings" w:hint="default"/>
      </w:rPr>
    </w:lvl>
    <w:lvl w:ilvl="1" w:tplc="04090003" w:tentative="1">
      <w:start w:val="1"/>
      <w:numFmt w:val="bullet"/>
      <w:lvlText w:val="o"/>
      <w:lvlJc w:val="left"/>
      <w:pPr>
        <w:ind w:left="1010" w:hanging="360"/>
      </w:pPr>
      <w:rPr>
        <w:rFonts w:ascii="Courier New" w:hAnsi="Courier New" w:cs="Courier New" w:hint="default"/>
      </w:rPr>
    </w:lvl>
    <w:lvl w:ilvl="2" w:tplc="04090005" w:tentative="1">
      <w:start w:val="1"/>
      <w:numFmt w:val="bullet"/>
      <w:lvlText w:val=""/>
      <w:lvlJc w:val="left"/>
      <w:pPr>
        <w:ind w:left="1730" w:hanging="360"/>
      </w:pPr>
      <w:rPr>
        <w:rFonts w:ascii="Wingdings" w:hAnsi="Wingdings" w:hint="default"/>
      </w:rPr>
    </w:lvl>
    <w:lvl w:ilvl="3" w:tplc="04090001" w:tentative="1">
      <w:start w:val="1"/>
      <w:numFmt w:val="bullet"/>
      <w:lvlText w:val=""/>
      <w:lvlJc w:val="left"/>
      <w:pPr>
        <w:ind w:left="2450" w:hanging="360"/>
      </w:pPr>
      <w:rPr>
        <w:rFonts w:ascii="Symbol" w:hAnsi="Symbol" w:hint="default"/>
      </w:rPr>
    </w:lvl>
    <w:lvl w:ilvl="4" w:tplc="04090003" w:tentative="1">
      <w:start w:val="1"/>
      <w:numFmt w:val="bullet"/>
      <w:lvlText w:val="o"/>
      <w:lvlJc w:val="left"/>
      <w:pPr>
        <w:ind w:left="3170" w:hanging="360"/>
      </w:pPr>
      <w:rPr>
        <w:rFonts w:ascii="Courier New" w:hAnsi="Courier New" w:cs="Courier New" w:hint="default"/>
      </w:rPr>
    </w:lvl>
    <w:lvl w:ilvl="5" w:tplc="04090005" w:tentative="1">
      <w:start w:val="1"/>
      <w:numFmt w:val="bullet"/>
      <w:lvlText w:val=""/>
      <w:lvlJc w:val="left"/>
      <w:pPr>
        <w:ind w:left="3890" w:hanging="360"/>
      </w:pPr>
      <w:rPr>
        <w:rFonts w:ascii="Wingdings" w:hAnsi="Wingdings" w:hint="default"/>
      </w:rPr>
    </w:lvl>
    <w:lvl w:ilvl="6" w:tplc="04090001" w:tentative="1">
      <w:start w:val="1"/>
      <w:numFmt w:val="bullet"/>
      <w:lvlText w:val=""/>
      <w:lvlJc w:val="left"/>
      <w:pPr>
        <w:ind w:left="4610" w:hanging="360"/>
      </w:pPr>
      <w:rPr>
        <w:rFonts w:ascii="Symbol" w:hAnsi="Symbol" w:hint="default"/>
      </w:rPr>
    </w:lvl>
    <w:lvl w:ilvl="7" w:tplc="04090003" w:tentative="1">
      <w:start w:val="1"/>
      <w:numFmt w:val="bullet"/>
      <w:lvlText w:val="o"/>
      <w:lvlJc w:val="left"/>
      <w:pPr>
        <w:ind w:left="5330" w:hanging="360"/>
      </w:pPr>
      <w:rPr>
        <w:rFonts w:ascii="Courier New" w:hAnsi="Courier New" w:cs="Courier New" w:hint="default"/>
      </w:rPr>
    </w:lvl>
    <w:lvl w:ilvl="8" w:tplc="04090005" w:tentative="1">
      <w:start w:val="1"/>
      <w:numFmt w:val="bullet"/>
      <w:lvlText w:val=""/>
      <w:lvlJc w:val="left"/>
      <w:pPr>
        <w:ind w:left="6050" w:hanging="360"/>
      </w:pPr>
      <w:rPr>
        <w:rFonts w:ascii="Wingdings" w:hAnsi="Wingdings" w:hint="default"/>
      </w:rPr>
    </w:lvl>
  </w:abstractNum>
  <w:abstractNum w:abstractNumId="21" w15:restartNumberingAfterBreak="0">
    <w:nsid w:val="7DCD77C0"/>
    <w:multiLevelType w:val="hybridMultilevel"/>
    <w:tmpl w:val="8D4C0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DD6478"/>
    <w:multiLevelType w:val="hybridMultilevel"/>
    <w:tmpl w:val="4D8EB5CE"/>
    <w:lvl w:ilvl="0" w:tplc="206E9E76">
      <w:start w:val="1"/>
      <w:numFmt w:val="bullet"/>
      <w:lvlText w:val=""/>
      <w:lvlJc w:val="left"/>
      <w:pPr>
        <w:ind w:left="720" w:hanging="360"/>
      </w:pPr>
      <w:rPr>
        <w:rFonts w:ascii="Symbol" w:hAnsi="Symbol" w:hint="default"/>
      </w:rPr>
    </w:lvl>
    <w:lvl w:ilvl="1" w:tplc="99E4657C">
      <w:start w:val="1"/>
      <w:numFmt w:val="bullet"/>
      <w:lvlText w:val="o"/>
      <w:lvlJc w:val="left"/>
      <w:pPr>
        <w:ind w:left="1440" w:hanging="360"/>
      </w:pPr>
      <w:rPr>
        <w:rFonts w:ascii="Courier New" w:hAnsi="Courier New" w:hint="default"/>
      </w:rPr>
    </w:lvl>
    <w:lvl w:ilvl="2" w:tplc="E39A416C">
      <w:start w:val="1"/>
      <w:numFmt w:val="bullet"/>
      <w:lvlText w:val=""/>
      <w:lvlJc w:val="left"/>
      <w:pPr>
        <w:ind w:left="2160" w:hanging="360"/>
      </w:pPr>
      <w:rPr>
        <w:rFonts w:ascii="Wingdings" w:hAnsi="Wingdings" w:hint="default"/>
      </w:rPr>
    </w:lvl>
    <w:lvl w:ilvl="3" w:tplc="5656943C">
      <w:start w:val="1"/>
      <w:numFmt w:val="bullet"/>
      <w:lvlText w:val=""/>
      <w:lvlJc w:val="left"/>
      <w:pPr>
        <w:ind w:left="2880" w:hanging="360"/>
      </w:pPr>
      <w:rPr>
        <w:rFonts w:ascii="Symbol" w:hAnsi="Symbol" w:hint="default"/>
      </w:rPr>
    </w:lvl>
    <w:lvl w:ilvl="4" w:tplc="3872E6E4">
      <w:start w:val="1"/>
      <w:numFmt w:val="bullet"/>
      <w:lvlText w:val="o"/>
      <w:lvlJc w:val="left"/>
      <w:pPr>
        <w:ind w:left="3600" w:hanging="360"/>
      </w:pPr>
      <w:rPr>
        <w:rFonts w:ascii="Courier New" w:hAnsi="Courier New" w:hint="default"/>
      </w:rPr>
    </w:lvl>
    <w:lvl w:ilvl="5" w:tplc="48FC4658">
      <w:start w:val="1"/>
      <w:numFmt w:val="bullet"/>
      <w:lvlText w:val=""/>
      <w:lvlJc w:val="left"/>
      <w:pPr>
        <w:ind w:left="4320" w:hanging="360"/>
      </w:pPr>
      <w:rPr>
        <w:rFonts w:ascii="Wingdings" w:hAnsi="Wingdings" w:hint="default"/>
      </w:rPr>
    </w:lvl>
    <w:lvl w:ilvl="6" w:tplc="332A530C">
      <w:start w:val="1"/>
      <w:numFmt w:val="bullet"/>
      <w:lvlText w:val=""/>
      <w:lvlJc w:val="left"/>
      <w:pPr>
        <w:ind w:left="5040" w:hanging="360"/>
      </w:pPr>
      <w:rPr>
        <w:rFonts w:ascii="Symbol" w:hAnsi="Symbol" w:hint="default"/>
      </w:rPr>
    </w:lvl>
    <w:lvl w:ilvl="7" w:tplc="88CA3FC8">
      <w:start w:val="1"/>
      <w:numFmt w:val="bullet"/>
      <w:lvlText w:val="o"/>
      <w:lvlJc w:val="left"/>
      <w:pPr>
        <w:ind w:left="5760" w:hanging="360"/>
      </w:pPr>
      <w:rPr>
        <w:rFonts w:ascii="Courier New" w:hAnsi="Courier New" w:hint="default"/>
      </w:rPr>
    </w:lvl>
    <w:lvl w:ilvl="8" w:tplc="50683F36">
      <w:start w:val="1"/>
      <w:numFmt w:val="bullet"/>
      <w:lvlText w:val=""/>
      <w:lvlJc w:val="left"/>
      <w:pPr>
        <w:ind w:left="6480" w:hanging="360"/>
      </w:pPr>
      <w:rPr>
        <w:rFonts w:ascii="Wingdings" w:hAnsi="Wingdings" w:hint="default"/>
      </w:rPr>
    </w:lvl>
  </w:abstractNum>
  <w:abstractNum w:abstractNumId="23" w15:restartNumberingAfterBreak="0">
    <w:nsid w:val="7EE57429"/>
    <w:multiLevelType w:val="hybridMultilevel"/>
    <w:tmpl w:val="51F803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4"/>
  </w:num>
  <w:num w:numId="3">
    <w:abstractNumId w:val="16"/>
  </w:num>
  <w:num w:numId="4">
    <w:abstractNumId w:val="15"/>
  </w:num>
  <w:num w:numId="5">
    <w:abstractNumId w:val="9"/>
  </w:num>
  <w:num w:numId="6">
    <w:abstractNumId w:val="17"/>
  </w:num>
  <w:num w:numId="7">
    <w:abstractNumId w:val="11"/>
  </w:num>
  <w:num w:numId="8">
    <w:abstractNumId w:val="12"/>
  </w:num>
  <w:num w:numId="9">
    <w:abstractNumId w:val="20"/>
  </w:num>
  <w:num w:numId="10">
    <w:abstractNumId w:val="10"/>
  </w:num>
  <w:num w:numId="11">
    <w:abstractNumId w:val="6"/>
  </w:num>
  <w:num w:numId="12">
    <w:abstractNumId w:val="18"/>
  </w:num>
  <w:num w:numId="13">
    <w:abstractNumId w:val="3"/>
  </w:num>
  <w:num w:numId="14">
    <w:abstractNumId w:val="19"/>
  </w:num>
  <w:num w:numId="15">
    <w:abstractNumId w:val="4"/>
  </w:num>
  <w:num w:numId="16">
    <w:abstractNumId w:val="13"/>
  </w:num>
  <w:num w:numId="17">
    <w:abstractNumId w:val="21"/>
  </w:num>
  <w:num w:numId="18">
    <w:abstractNumId w:val="2"/>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5"/>
  </w:num>
  <w:num w:numId="38">
    <w:abstractNumId w:val="7"/>
  </w:num>
  <w:num w:numId="39">
    <w:abstractNumId w:val="1"/>
  </w:num>
  <w:num w:numId="4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D0"/>
    <w:rsid w:val="00002F41"/>
    <w:rsid w:val="000061B5"/>
    <w:rsid w:val="00007702"/>
    <w:rsid w:val="00012337"/>
    <w:rsid w:val="00024E62"/>
    <w:rsid w:val="00025BC6"/>
    <w:rsid w:val="00031901"/>
    <w:rsid w:val="0003585D"/>
    <w:rsid w:val="000367E4"/>
    <w:rsid w:val="0004096E"/>
    <w:rsid w:val="00042590"/>
    <w:rsid w:val="00045C33"/>
    <w:rsid w:val="00050E17"/>
    <w:rsid w:val="000548C5"/>
    <w:rsid w:val="00060B7B"/>
    <w:rsid w:val="00064F0F"/>
    <w:rsid w:val="000667CA"/>
    <w:rsid w:val="00080685"/>
    <w:rsid w:val="00080AB1"/>
    <w:rsid w:val="000905F3"/>
    <w:rsid w:val="000907B1"/>
    <w:rsid w:val="00094527"/>
    <w:rsid w:val="000A6213"/>
    <w:rsid w:val="000B2972"/>
    <w:rsid w:val="000B6A19"/>
    <w:rsid w:val="000C0C12"/>
    <w:rsid w:val="000C3532"/>
    <w:rsid w:val="000C4E59"/>
    <w:rsid w:val="000D05EE"/>
    <w:rsid w:val="000D133D"/>
    <w:rsid w:val="000D1C0D"/>
    <w:rsid w:val="000E732A"/>
    <w:rsid w:val="000F159B"/>
    <w:rsid w:val="000F4062"/>
    <w:rsid w:val="000F5A15"/>
    <w:rsid w:val="00100ED1"/>
    <w:rsid w:val="00102B38"/>
    <w:rsid w:val="00102E0A"/>
    <w:rsid w:val="00104900"/>
    <w:rsid w:val="001050FC"/>
    <w:rsid w:val="0011458F"/>
    <w:rsid w:val="00114B6A"/>
    <w:rsid w:val="00122EBB"/>
    <w:rsid w:val="00126698"/>
    <w:rsid w:val="0014126C"/>
    <w:rsid w:val="00147DD4"/>
    <w:rsid w:val="00150D7E"/>
    <w:rsid w:val="00161800"/>
    <w:rsid w:val="00166AA0"/>
    <w:rsid w:val="00192B17"/>
    <w:rsid w:val="0019460D"/>
    <w:rsid w:val="001A0AD8"/>
    <w:rsid w:val="001B5125"/>
    <w:rsid w:val="001B716E"/>
    <w:rsid w:val="001C12E3"/>
    <w:rsid w:val="001E29C3"/>
    <w:rsid w:val="001E766B"/>
    <w:rsid w:val="001F0FEC"/>
    <w:rsid w:val="001F673B"/>
    <w:rsid w:val="00202844"/>
    <w:rsid w:val="00211BCD"/>
    <w:rsid w:val="00212ECE"/>
    <w:rsid w:val="00233B67"/>
    <w:rsid w:val="002420AB"/>
    <w:rsid w:val="00244623"/>
    <w:rsid w:val="00244F85"/>
    <w:rsid w:val="00271E0D"/>
    <w:rsid w:val="00276423"/>
    <w:rsid w:val="00291D82"/>
    <w:rsid w:val="002970C8"/>
    <w:rsid w:val="002A4C07"/>
    <w:rsid w:val="002A7629"/>
    <w:rsid w:val="002B3BAA"/>
    <w:rsid w:val="002B3D58"/>
    <w:rsid w:val="002B4F9D"/>
    <w:rsid w:val="002C0DA8"/>
    <w:rsid w:val="002C1E52"/>
    <w:rsid w:val="002C2AEA"/>
    <w:rsid w:val="002D2741"/>
    <w:rsid w:val="002D431E"/>
    <w:rsid w:val="002F75B1"/>
    <w:rsid w:val="00305ED7"/>
    <w:rsid w:val="00306DF0"/>
    <w:rsid w:val="00311AFD"/>
    <w:rsid w:val="0031600F"/>
    <w:rsid w:val="00317232"/>
    <w:rsid w:val="0032675B"/>
    <w:rsid w:val="00330CA1"/>
    <w:rsid w:val="00332BED"/>
    <w:rsid w:val="003341C3"/>
    <w:rsid w:val="003439E1"/>
    <w:rsid w:val="00350256"/>
    <w:rsid w:val="00356CCF"/>
    <w:rsid w:val="003707CF"/>
    <w:rsid w:val="00377EF7"/>
    <w:rsid w:val="00381EC5"/>
    <w:rsid w:val="0039473C"/>
    <w:rsid w:val="003B0EEB"/>
    <w:rsid w:val="003C4608"/>
    <w:rsid w:val="003C4B36"/>
    <w:rsid w:val="003D7FDF"/>
    <w:rsid w:val="003F5D47"/>
    <w:rsid w:val="00405332"/>
    <w:rsid w:val="00406711"/>
    <w:rsid w:val="0042069E"/>
    <w:rsid w:val="00422F10"/>
    <w:rsid w:val="00422F2B"/>
    <w:rsid w:val="004231E6"/>
    <w:rsid w:val="0043702A"/>
    <w:rsid w:val="00451E83"/>
    <w:rsid w:val="004562E8"/>
    <w:rsid w:val="004650A8"/>
    <w:rsid w:val="004663A8"/>
    <w:rsid w:val="004676B2"/>
    <w:rsid w:val="004709D5"/>
    <w:rsid w:val="00477634"/>
    <w:rsid w:val="00481280"/>
    <w:rsid w:val="00491186"/>
    <w:rsid w:val="00495482"/>
    <w:rsid w:val="00495758"/>
    <w:rsid w:val="004A296B"/>
    <w:rsid w:val="004A3862"/>
    <w:rsid w:val="004A6BA9"/>
    <w:rsid w:val="004B1A16"/>
    <w:rsid w:val="004B2A8C"/>
    <w:rsid w:val="004B36AD"/>
    <w:rsid w:val="004B51F1"/>
    <w:rsid w:val="004C4967"/>
    <w:rsid w:val="004C6DF0"/>
    <w:rsid w:val="004D48B4"/>
    <w:rsid w:val="004E1ABA"/>
    <w:rsid w:val="004F58EC"/>
    <w:rsid w:val="004F5F63"/>
    <w:rsid w:val="00513184"/>
    <w:rsid w:val="0051797A"/>
    <w:rsid w:val="00525BA8"/>
    <w:rsid w:val="00532B0F"/>
    <w:rsid w:val="00532E8A"/>
    <w:rsid w:val="005427B3"/>
    <w:rsid w:val="00552386"/>
    <w:rsid w:val="00555552"/>
    <w:rsid w:val="00563720"/>
    <w:rsid w:val="00564922"/>
    <w:rsid w:val="00565109"/>
    <w:rsid w:val="005651BA"/>
    <w:rsid w:val="00566ED7"/>
    <w:rsid w:val="005702C3"/>
    <w:rsid w:val="005846D7"/>
    <w:rsid w:val="00593CD9"/>
    <w:rsid w:val="005951D2"/>
    <w:rsid w:val="005A007C"/>
    <w:rsid w:val="005A385C"/>
    <w:rsid w:val="005B0523"/>
    <w:rsid w:val="005B5449"/>
    <w:rsid w:val="005C5DFE"/>
    <w:rsid w:val="005D2506"/>
    <w:rsid w:val="00611CA6"/>
    <w:rsid w:val="00617113"/>
    <w:rsid w:val="00622B6B"/>
    <w:rsid w:val="00623670"/>
    <w:rsid w:val="00630150"/>
    <w:rsid w:val="00632CCD"/>
    <w:rsid w:val="00634884"/>
    <w:rsid w:val="00635441"/>
    <w:rsid w:val="006377F1"/>
    <w:rsid w:val="006430A8"/>
    <w:rsid w:val="00644004"/>
    <w:rsid w:val="00644F4F"/>
    <w:rsid w:val="0064631C"/>
    <w:rsid w:val="00660959"/>
    <w:rsid w:val="006629F6"/>
    <w:rsid w:val="00671E6B"/>
    <w:rsid w:val="00690528"/>
    <w:rsid w:val="006938C2"/>
    <w:rsid w:val="006949BD"/>
    <w:rsid w:val="006A1CFD"/>
    <w:rsid w:val="006A4047"/>
    <w:rsid w:val="006B091C"/>
    <w:rsid w:val="006B0F79"/>
    <w:rsid w:val="006C1553"/>
    <w:rsid w:val="006C4702"/>
    <w:rsid w:val="006C7C67"/>
    <w:rsid w:val="006D3AF1"/>
    <w:rsid w:val="006D5E02"/>
    <w:rsid w:val="006D67FB"/>
    <w:rsid w:val="006F0588"/>
    <w:rsid w:val="007002CF"/>
    <w:rsid w:val="00702E55"/>
    <w:rsid w:val="0070328A"/>
    <w:rsid w:val="00705313"/>
    <w:rsid w:val="00712618"/>
    <w:rsid w:val="00722BD1"/>
    <w:rsid w:val="00727F90"/>
    <w:rsid w:val="00733567"/>
    <w:rsid w:val="00736FF2"/>
    <w:rsid w:val="007547D6"/>
    <w:rsid w:val="007567C1"/>
    <w:rsid w:val="00756C1A"/>
    <w:rsid w:val="00764F94"/>
    <w:rsid w:val="0077110C"/>
    <w:rsid w:val="007807C8"/>
    <w:rsid w:val="007817AD"/>
    <w:rsid w:val="00787AC3"/>
    <w:rsid w:val="00793C7C"/>
    <w:rsid w:val="00795062"/>
    <w:rsid w:val="007A4D74"/>
    <w:rsid w:val="007A5BF8"/>
    <w:rsid w:val="007A67AA"/>
    <w:rsid w:val="007B6305"/>
    <w:rsid w:val="007B64BD"/>
    <w:rsid w:val="007D2F1C"/>
    <w:rsid w:val="007D484F"/>
    <w:rsid w:val="007E4BD3"/>
    <w:rsid w:val="007E6958"/>
    <w:rsid w:val="007E6F68"/>
    <w:rsid w:val="007E70DE"/>
    <w:rsid w:val="007F2B23"/>
    <w:rsid w:val="007F2F83"/>
    <w:rsid w:val="007F38EA"/>
    <w:rsid w:val="00806A6C"/>
    <w:rsid w:val="00806FA7"/>
    <w:rsid w:val="00827E75"/>
    <w:rsid w:val="00835474"/>
    <w:rsid w:val="0084050D"/>
    <w:rsid w:val="00854194"/>
    <w:rsid w:val="00855550"/>
    <w:rsid w:val="008743E5"/>
    <w:rsid w:val="0089003E"/>
    <w:rsid w:val="00894F6B"/>
    <w:rsid w:val="0089793A"/>
    <w:rsid w:val="00897B20"/>
    <w:rsid w:val="008A1469"/>
    <w:rsid w:val="008B1DB8"/>
    <w:rsid w:val="008B4E60"/>
    <w:rsid w:val="008C2238"/>
    <w:rsid w:val="008C4655"/>
    <w:rsid w:val="008D2A4F"/>
    <w:rsid w:val="008E65C3"/>
    <w:rsid w:val="008F545A"/>
    <w:rsid w:val="0091042C"/>
    <w:rsid w:val="00915ACD"/>
    <w:rsid w:val="00921AF6"/>
    <w:rsid w:val="009220D0"/>
    <w:rsid w:val="00924888"/>
    <w:rsid w:val="009323C1"/>
    <w:rsid w:val="0093552E"/>
    <w:rsid w:val="00937EF3"/>
    <w:rsid w:val="00941134"/>
    <w:rsid w:val="0094728E"/>
    <w:rsid w:val="009505CF"/>
    <w:rsid w:val="00951EFB"/>
    <w:rsid w:val="00955F59"/>
    <w:rsid w:val="00966048"/>
    <w:rsid w:val="009733FA"/>
    <w:rsid w:val="00974AA9"/>
    <w:rsid w:val="00975F77"/>
    <w:rsid w:val="0098476A"/>
    <w:rsid w:val="00987240"/>
    <w:rsid w:val="00992B8D"/>
    <w:rsid w:val="009951DB"/>
    <w:rsid w:val="009A08E4"/>
    <w:rsid w:val="009B2E90"/>
    <w:rsid w:val="009B4BB1"/>
    <w:rsid w:val="009C21E4"/>
    <w:rsid w:val="009E68D0"/>
    <w:rsid w:val="009F49B7"/>
    <w:rsid w:val="009F69D6"/>
    <w:rsid w:val="00A0329D"/>
    <w:rsid w:val="00A03B78"/>
    <w:rsid w:val="00A14265"/>
    <w:rsid w:val="00A14764"/>
    <w:rsid w:val="00A30A63"/>
    <w:rsid w:val="00A32B8A"/>
    <w:rsid w:val="00A36A1B"/>
    <w:rsid w:val="00A51EE4"/>
    <w:rsid w:val="00A6006B"/>
    <w:rsid w:val="00A66E17"/>
    <w:rsid w:val="00A76123"/>
    <w:rsid w:val="00A76338"/>
    <w:rsid w:val="00A80584"/>
    <w:rsid w:val="00A87AFF"/>
    <w:rsid w:val="00A87E0D"/>
    <w:rsid w:val="00A908D8"/>
    <w:rsid w:val="00A968DA"/>
    <w:rsid w:val="00AB10BB"/>
    <w:rsid w:val="00AB1108"/>
    <w:rsid w:val="00AB28D6"/>
    <w:rsid w:val="00AB4E36"/>
    <w:rsid w:val="00AB709E"/>
    <w:rsid w:val="00AB7A80"/>
    <w:rsid w:val="00AB7BEC"/>
    <w:rsid w:val="00AC19F7"/>
    <w:rsid w:val="00AC2612"/>
    <w:rsid w:val="00AC4AB9"/>
    <w:rsid w:val="00AC5A5F"/>
    <w:rsid w:val="00AD2B2E"/>
    <w:rsid w:val="00AE06A3"/>
    <w:rsid w:val="00AE196F"/>
    <w:rsid w:val="00B14DD6"/>
    <w:rsid w:val="00B178A1"/>
    <w:rsid w:val="00B24C0E"/>
    <w:rsid w:val="00B30CAB"/>
    <w:rsid w:val="00B32CFF"/>
    <w:rsid w:val="00B3470E"/>
    <w:rsid w:val="00B34E02"/>
    <w:rsid w:val="00B464FE"/>
    <w:rsid w:val="00B46B04"/>
    <w:rsid w:val="00B473EC"/>
    <w:rsid w:val="00B50262"/>
    <w:rsid w:val="00B51959"/>
    <w:rsid w:val="00B57EFC"/>
    <w:rsid w:val="00B60AC6"/>
    <w:rsid w:val="00B62629"/>
    <w:rsid w:val="00B72585"/>
    <w:rsid w:val="00B726F0"/>
    <w:rsid w:val="00B77C8B"/>
    <w:rsid w:val="00B82912"/>
    <w:rsid w:val="00B84F08"/>
    <w:rsid w:val="00B90F96"/>
    <w:rsid w:val="00B90FEE"/>
    <w:rsid w:val="00B9201A"/>
    <w:rsid w:val="00B97140"/>
    <w:rsid w:val="00B97FF9"/>
    <w:rsid w:val="00BB7042"/>
    <w:rsid w:val="00BB7313"/>
    <w:rsid w:val="00BB76E4"/>
    <w:rsid w:val="00BC2ADF"/>
    <w:rsid w:val="00BE0FCA"/>
    <w:rsid w:val="00BE229E"/>
    <w:rsid w:val="00BE4E9C"/>
    <w:rsid w:val="00BF58AA"/>
    <w:rsid w:val="00C20C33"/>
    <w:rsid w:val="00C22F0E"/>
    <w:rsid w:val="00C2698F"/>
    <w:rsid w:val="00C37C80"/>
    <w:rsid w:val="00C43C71"/>
    <w:rsid w:val="00C465C8"/>
    <w:rsid w:val="00C672CB"/>
    <w:rsid w:val="00C70E21"/>
    <w:rsid w:val="00C80206"/>
    <w:rsid w:val="00C9087E"/>
    <w:rsid w:val="00CA5D32"/>
    <w:rsid w:val="00CA77DF"/>
    <w:rsid w:val="00CA795A"/>
    <w:rsid w:val="00CA7D43"/>
    <w:rsid w:val="00CB0144"/>
    <w:rsid w:val="00CC4232"/>
    <w:rsid w:val="00CC6CD5"/>
    <w:rsid w:val="00CC71E0"/>
    <w:rsid w:val="00CC7232"/>
    <w:rsid w:val="00CC7F34"/>
    <w:rsid w:val="00CD6987"/>
    <w:rsid w:val="00CE165D"/>
    <w:rsid w:val="00CE4353"/>
    <w:rsid w:val="00CF52FD"/>
    <w:rsid w:val="00CF67A2"/>
    <w:rsid w:val="00D00B11"/>
    <w:rsid w:val="00D060DD"/>
    <w:rsid w:val="00D06286"/>
    <w:rsid w:val="00D10C50"/>
    <w:rsid w:val="00D11813"/>
    <w:rsid w:val="00D13545"/>
    <w:rsid w:val="00D1529C"/>
    <w:rsid w:val="00D17231"/>
    <w:rsid w:val="00D352C3"/>
    <w:rsid w:val="00D40F90"/>
    <w:rsid w:val="00D47B9A"/>
    <w:rsid w:val="00D5013C"/>
    <w:rsid w:val="00D50B39"/>
    <w:rsid w:val="00D5247F"/>
    <w:rsid w:val="00D539F6"/>
    <w:rsid w:val="00D53B52"/>
    <w:rsid w:val="00D53E63"/>
    <w:rsid w:val="00D547BE"/>
    <w:rsid w:val="00D55298"/>
    <w:rsid w:val="00D6141D"/>
    <w:rsid w:val="00D617D0"/>
    <w:rsid w:val="00D63255"/>
    <w:rsid w:val="00D63858"/>
    <w:rsid w:val="00D659F1"/>
    <w:rsid w:val="00D711E1"/>
    <w:rsid w:val="00D7218B"/>
    <w:rsid w:val="00D75CB9"/>
    <w:rsid w:val="00D761F6"/>
    <w:rsid w:val="00D7642C"/>
    <w:rsid w:val="00D768C6"/>
    <w:rsid w:val="00D84CE5"/>
    <w:rsid w:val="00D85F5F"/>
    <w:rsid w:val="00D87746"/>
    <w:rsid w:val="00D9232A"/>
    <w:rsid w:val="00D95354"/>
    <w:rsid w:val="00D954B3"/>
    <w:rsid w:val="00DA1EDF"/>
    <w:rsid w:val="00DB5E67"/>
    <w:rsid w:val="00DB785E"/>
    <w:rsid w:val="00DC242B"/>
    <w:rsid w:val="00DC39A0"/>
    <w:rsid w:val="00DC4FA2"/>
    <w:rsid w:val="00DC52B2"/>
    <w:rsid w:val="00DC7FA8"/>
    <w:rsid w:val="00DD0A97"/>
    <w:rsid w:val="00DD2999"/>
    <w:rsid w:val="00DE6872"/>
    <w:rsid w:val="00DF0098"/>
    <w:rsid w:val="00DF0B07"/>
    <w:rsid w:val="00DF5D4C"/>
    <w:rsid w:val="00DF7007"/>
    <w:rsid w:val="00E01DFC"/>
    <w:rsid w:val="00E03973"/>
    <w:rsid w:val="00E1043E"/>
    <w:rsid w:val="00E11039"/>
    <w:rsid w:val="00E2099C"/>
    <w:rsid w:val="00E215F3"/>
    <w:rsid w:val="00E22995"/>
    <w:rsid w:val="00E25D91"/>
    <w:rsid w:val="00E31A6A"/>
    <w:rsid w:val="00E33AA8"/>
    <w:rsid w:val="00E37590"/>
    <w:rsid w:val="00E72186"/>
    <w:rsid w:val="00E75C8E"/>
    <w:rsid w:val="00E773B8"/>
    <w:rsid w:val="00E85ADA"/>
    <w:rsid w:val="00E86A74"/>
    <w:rsid w:val="00E9364F"/>
    <w:rsid w:val="00EA3837"/>
    <w:rsid w:val="00EA3D60"/>
    <w:rsid w:val="00EA3F49"/>
    <w:rsid w:val="00EA6ACE"/>
    <w:rsid w:val="00EA6BA8"/>
    <w:rsid w:val="00EB1C98"/>
    <w:rsid w:val="00EB6CEA"/>
    <w:rsid w:val="00EC0707"/>
    <w:rsid w:val="00EF2AD8"/>
    <w:rsid w:val="00EF4D83"/>
    <w:rsid w:val="00EF5E86"/>
    <w:rsid w:val="00EF6EA9"/>
    <w:rsid w:val="00F016B2"/>
    <w:rsid w:val="00F037A5"/>
    <w:rsid w:val="00F049C2"/>
    <w:rsid w:val="00F11289"/>
    <w:rsid w:val="00F12FCF"/>
    <w:rsid w:val="00F17C28"/>
    <w:rsid w:val="00F2680D"/>
    <w:rsid w:val="00F40511"/>
    <w:rsid w:val="00F4053A"/>
    <w:rsid w:val="00F518F3"/>
    <w:rsid w:val="00F54B9B"/>
    <w:rsid w:val="00F5512C"/>
    <w:rsid w:val="00F6582A"/>
    <w:rsid w:val="00F76160"/>
    <w:rsid w:val="00F77288"/>
    <w:rsid w:val="00F811FA"/>
    <w:rsid w:val="00F82FAD"/>
    <w:rsid w:val="00F87DF8"/>
    <w:rsid w:val="00F91CC5"/>
    <w:rsid w:val="00F97D96"/>
    <w:rsid w:val="00FA2786"/>
    <w:rsid w:val="00FA72FD"/>
    <w:rsid w:val="00FD33E9"/>
    <w:rsid w:val="0212ACAF"/>
    <w:rsid w:val="02EDAE17"/>
    <w:rsid w:val="02FCD052"/>
    <w:rsid w:val="02FFAFEC"/>
    <w:rsid w:val="032B799E"/>
    <w:rsid w:val="0367B104"/>
    <w:rsid w:val="04E8189F"/>
    <w:rsid w:val="05C266E5"/>
    <w:rsid w:val="05F9DB2C"/>
    <w:rsid w:val="070C5BFD"/>
    <w:rsid w:val="0713AEAF"/>
    <w:rsid w:val="072421C4"/>
    <w:rsid w:val="07C0218F"/>
    <w:rsid w:val="0816122B"/>
    <w:rsid w:val="08A0920D"/>
    <w:rsid w:val="08B93586"/>
    <w:rsid w:val="093EEE79"/>
    <w:rsid w:val="096D7A7F"/>
    <w:rsid w:val="09ED6DEA"/>
    <w:rsid w:val="0A2A52B6"/>
    <w:rsid w:val="0A9F4120"/>
    <w:rsid w:val="0B7D8D62"/>
    <w:rsid w:val="0C15EE1A"/>
    <w:rsid w:val="0CABD8DC"/>
    <w:rsid w:val="0CE8751E"/>
    <w:rsid w:val="0CF623C7"/>
    <w:rsid w:val="0D7177F3"/>
    <w:rsid w:val="0E4EED3D"/>
    <w:rsid w:val="0E9401B2"/>
    <w:rsid w:val="0F298068"/>
    <w:rsid w:val="0F2B2BFD"/>
    <w:rsid w:val="0F63596F"/>
    <w:rsid w:val="10D66DA2"/>
    <w:rsid w:val="10F68DA6"/>
    <w:rsid w:val="11102CDD"/>
    <w:rsid w:val="11B720E7"/>
    <w:rsid w:val="11FACA06"/>
    <w:rsid w:val="125A4BE2"/>
    <w:rsid w:val="12753A1C"/>
    <w:rsid w:val="1278772F"/>
    <w:rsid w:val="1547A8CE"/>
    <w:rsid w:val="16534187"/>
    <w:rsid w:val="19932969"/>
    <w:rsid w:val="1A1ACBE5"/>
    <w:rsid w:val="1A280117"/>
    <w:rsid w:val="1AB3E5A8"/>
    <w:rsid w:val="1AC16589"/>
    <w:rsid w:val="1C0A5E23"/>
    <w:rsid w:val="1C1A57FC"/>
    <w:rsid w:val="1C543E3D"/>
    <w:rsid w:val="1DA8C53B"/>
    <w:rsid w:val="1F20A101"/>
    <w:rsid w:val="1FE21AAD"/>
    <w:rsid w:val="20FF2356"/>
    <w:rsid w:val="21AE0CD6"/>
    <w:rsid w:val="2270661E"/>
    <w:rsid w:val="22A609E4"/>
    <w:rsid w:val="22EF3718"/>
    <w:rsid w:val="2305DEF0"/>
    <w:rsid w:val="23245971"/>
    <w:rsid w:val="24170633"/>
    <w:rsid w:val="25494F47"/>
    <w:rsid w:val="2635E634"/>
    <w:rsid w:val="26890DE0"/>
    <w:rsid w:val="274E1F5B"/>
    <w:rsid w:val="27612367"/>
    <w:rsid w:val="2876CD14"/>
    <w:rsid w:val="28CD825E"/>
    <w:rsid w:val="2A1F711E"/>
    <w:rsid w:val="2B32C3A5"/>
    <w:rsid w:val="2C640176"/>
    <w:rsid w:val="2CA673B9"/>
    <w:rsid w:val="2CBA75D1"/>
    <w:rsid w:val="2CD0784F"/>
    <w:rsid w:val="2D76CE7F"/>
    <w:rsid w:val="2DCB4066"/>
    <w:rsid w:val="2E0295F3"/>
    <w:rsid w:val="2EA78DEE"/>
    <w:rsid w:val="2EB7E229"/>
    <w:rsid w:val="2F3680E7"/>
    <w:rsid w:val="304884EC"/>
    <w:rsid w:val="31C5C7BE"/>
    <w:rsid w:val="320DE0DF"/>
    <w:rsid w:val="3313F6CD"/>
    <w:rsid w:val="3423E3B5"/>
    <w:rsid w:val="347B6DC4"/>
    <w:rsid w:val="3581A572"/>
    <w:rsid w:val="35A8B0D3"/>
    <w:rsid w:val="36238B41"/>
    <w:rsid w:val="36758D2C"/>
    <w:rsid w:val="369B34D2"/>
    <w:rsid w:val="3775C53A"/>
    <w:rsid w:val="3778D021"/>
    <w:rsid w:val="3832E335"/>
    <w:rsid w:val="3865B99F"/>
    <w:rsid w:val="38E0CB4C"/>
    <w:rsid w:val="39A30CFC"/>
    <w:rsid w:val="3A1DB606"/>
    <w:rsid w:val="3B02D214"/>
    <w:rsid w:val="3B921911"/>
    <w:rsid w:val="3BE64219"/>
    <w:rsid w:val="3C0D4E3C"/>
    <w:rsid w:val="3D8D22CB"/>
    <w:rsid w:val="3DD94117"/>
    <w:rsid w:val="3DDD54FE"/>
    <w:rsid w:val="3E22506E"/>
    <w:rsid w:val="3E3B8309"/>
    <w:rsid w:val="3E819098"/>
    <w:rsid w:val="3EE22F58"/>
    <w:rsid w:val="3F5D3B3C"/>
    <w:rsid w:val="3FE43560"/>
    <w:rsid w:val="40D2EFB0"/>
    <w:rsid w:val="4163E128"/>
    <w:rsid w:val="4208B54A"/>
    <w:rsid w:val="4213961D"/>
    <w:rsid w:val="4274295A"/>
    <w:rsid w:val="43FEEEB4"/>
    <w:rsid w:val="4460AC53"/>
    <w:rsid w:val="44E96B53"/>
    <w:rsid w:val="44EADE4F"/>
    <w:rsid w:val="4522FE57"/>
    <w:rsid w:val="45DC2A2F"/>
    <w:rsid w:val="45DC5C40"/>
    <w:rsid w:val="45E2E7B8"/>
    <w:rsid w:val="46AC2413"/>
    <w:rsid w:val="4732AFC5"/>
    <w:rsid w:val="47584847"/>
    <w:rsid w:val="47AD52E7"/>
    <w:rsid w:val="4923DC76"/>
    <w:rsid w:val="4A58A485"/>
    <w:rsid w:val="4B8AF2C6"/>
    <w:rsid w:val="4D23CE5A"/>
    <w:rsid w:val="4F878664"/>
    <w:rsid w:val="4FA9D669"/>
    <w:rsid w:val="5031F678"/>
    <w:rsid w:val="50579225"/>
    <w:rsid w:val="510A4CF6"/>
    <w:rsid w:val="514F9726"/>
    <w:rsid w:val="5161AD79"/>
    <w:rsid w:val="51CF1140"/>
    <w:rsid w:val="52646C87"/>
    <w:rsid w:val="52A4143C"/>
    <w:rsid w:val="53B124D3"/>
    <w:rsid w:val="5474534F"/>
    <w:rsid w:val="558D1541"/>
    <w:rsid w:val="560EB240"/>
    <w:rsid w:val="56AA911C"/>
    <w:rsid w:val="56FD6CCB"/>
    <w:rsid w:val="577CF89F"/>
    <w:rsid w:val="578225BB"/>
    <w:rsid w:val="58E53142"/>
    <w:rsid w:val="597BBCCE"/>
    <w:rsid w:val="5ABA23C5"/>
    <w:rsid w:val="5BAE7DE8"/>
    <w:rsid w:val="5DCAC4B1"/>
    <w:rsid w:val="5E341A3A"/>
    <w:rsid w:val="5E6A2817"/>
    <w:rsid w:val="5E6B01B1"/>
    <w:rsid w:val="5F9CEC5C"/>
    <w:rsid w:val="5FE9745D"/>
    <w:rsid w:val="60D31BBD"/>
    <w:rsid w:val="60F10451"/>
    <w:rsid w:val="61B03215"/>
    <w:rsid w:val="6231BE92"/>
    <w:rsid w:val="6253EA20"/>
    <w:rsid w:val="63512EE1"/>
    <w:rsid w:val="63519F71"/>
    <w:rsid w:val="63806DF3"/>
    <w:rsid w:val="63BE5E2F"/>
    <w:rsid w:val="643B4152"/>
    <w:rsid w:val="65786419"/>
    <w:rsid w:val="671EB905"/>
    <w:rsid w:val="673DF9DF"/>
    <w:rsid w:val="68047F14"/>
    <w:rsid w:val="68A91CF7"/>
    <w:rsid w:val="68E114E5"/>
    <w:rsid w:val="68FDFA12"/>
    <w:rsid w:val="6C08A52E"/>
    <w:rsid w:val="6CFD67D7"/>
    <w:rsid w:val="6D8C19AF"/>
    <w:rsid w:val="6D924AC6"/>
    <w:rsid w:val="6DFC4C15"/>
    <w:rsid w:val="6E456452"/>
    <w:rsid w:val="6E75245B"/>
    <w:rsid w:val="6FDF4C3C"/>
    <w:rsid w:val="70893E8A"/>
    <w:rsid w:val="713BF1AB"/>
    <w:rsid w:val="715BF3D2"/>
    <w:rsid w:val="72A9F395"/>
    <w:rsid w:val="72DF086A"/>
    <w:rsid w:val="7355A3BA"/>
    <w:rsid w:val="74152F53"/>
    <w:rsid w:val="7478A3C9"/>
    <w:rsid w:val="74A0B124"/>
    <w:rsid w:val="74B99D7E"/>
    <w:rsid w:val="74D35AD9"/>
    <w:rsid w:val="7500CC2A"/>
    <w:rsid w:val="7597F53E"/>
    <w:rsid w:val="763A3090"/>
    <w:rsid w:val="766932DB"/>
    <w:rsid w:val="7671B10D"/>
    <w:rsid w:val="7674377B"/>
    <w:rsid w:val="778ECA57"/>
    <w:rsid w:val="785B6C82"/>
    <w:rsid w:val="789ABB71"/>
    <w:rsid w:val="78B24C2E"/>
    <w:rsid w:val="797BB4AD"/>
    <w:rsid w:val="798F0DE0"/>
    <w:rsid w:val="79C4EEF9"/>
    <w:rsid w:val="7A5F0D1C"/>
    <w:rsid w:val="7B0CC0CC"/>
    <w:rsid w:val="7B28ACB7"/>
    <w:rsid w:val="7B672B78"/>
    <w:rsid w:val="7B9607D0"/>
    <w:rsid w:val="7BB05C9C"/>
    <w:rsid w:val="7D9D6351"/>
    <w:rsid w:val="7DC6F5C4"/>
    <w:rsid w:val="7E867FCB"/>
    <w:rsid w:val="7EDECB45"/>
    <w:rsid w:val="7FAD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1D21A6"/>
  <w15:chartTrackingRefBased/>
  <w15:docId w15:val="{1CDD6085-37D0-4E60-B363-6E4151C8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68D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E68D0"/>
    <w:pPr>
      <w:pBdr>
        <w:top w:val="nil"/>
        <w:left w:val="nil"/>
        <w:bottom w:val="nil"/>
        <w:right w:val="nil"/>
        <w:between w:val="nil"/>
        <w:bar w:val="nil"/>
      </w:pBdr>
      <w:tabs>
        <w:tab w:val="center" w:pos="4680"/>
        <w:tab w:val="right" w:pos="9360"/>
      </w:tabs>
      <w:spacing w:after="0" w:line="240" w:lineRule="auto"/>
    </w:pPr>
    <w:rPr>
      <w:rFonts w:ascii="Calibri" w:eastAsia="Calibri" w:hAnsi="Calibri" w:cs="Calibri"/>
      <w:color w:val="000000"/>
      <w:u w:color="000000"/>
      <w:bdr w:val="nil"/>
      <w:lang w:eastAsia="en-GB"/>
    </w:rPr>
  </w:style>
  <w:style w:type="character" w:customStyle="1" w:styleId="HeaderChar">
    <w:name w:val="Header Char"/>
    <w:basedOn w:val="DefaultParagraphFont"/>
    <w:link w:val="Header"/>
    <w:rsid w:val="009E68D0"/>
    <w:rPr>
      <w:rFonts w:ascii="Calibri" w:eastAsia="Calibri" w:hAnsi="Calibri" w:cs="Calibri"/>
      <w:color w:val="000000"/>
      <w:u w:color="000000"/>
      <w:bdr w:val="nil"/>
      <w:lang w:eastAsia="en-GB"/>
    </w:rPr>
  </w:style>
  <w:style w:type="paragraph" w:styleId="Footer">
    <w:name w:val="footer"/>
    <w:link w:val="FooterChar"/>
    <w:rsid w:val="009E68D0"/>
    <w:pPr>
      <w:pBdr>
        <w:top w:val="nil"/>
        <w:left w:val="nil"/>
        <w:bottom w:val="nil"/>
        <w:right w:val="nil"/>
        <w:between w:val="nil"/>
        <w:bar w:val="nil"/>
      </w:pBdr>
      <w:tabs>
        <w:tab w:val="center" w:pos="4680"/>
        <w:tab w:val="right" w:pos="9360"/>
      </w:tabs>
      <w:spacing w:after="0" w:line="240" w:lineRule="auto"/>
    </w:pPr>
    <w:rPr>
      <w:rFonts w:ascii="Calibri" w:eastAsia="Calibri" w:hAnsi="Calibri" w:cs="Calibri"/>
      <w:color w:val="000000"/>
      <w:u w:color="000000"/>
      <w:bdr w:val="nil"/>
      <w:lang w:eastAsia="en-GB"/>
    </w:rPr>
  </w:style>
  <w:style w:type="character" w:customStyle="1" w:styleId="FooterChar">
    <w:name w:val="Footer Char"/>
    <w:basedOn w:val="DefaultParagraphFont"/>
    <w:link w:val="Footer"/>
    <w:rsid w:val="009E68D0"/>
    <w:rPr>
      <w:rFonts w:ascii="Calibri" w:eastAsia="Calibri" w:hAnsi="Calibri" w:cs="Calibri"/>
      <w:color w:val="000000"/>
      <w:u w:color="000000"/>
      <w:bdr w:val="nil"/>
      <w:lang w:eastAsia="en-GB"/>
    </w:rPr>
  </w:style>
  <w:style w:type="paragraph" w:customStyle="1" w:styleId="BodyA">
    <w:name w:val="Body A"/>
    <w:rsid w:val="009E68D0"/>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n-GB"/>
    </w:rPr>
  </w:style>
  <w:style w:type="paragraph" w:styleId="ListParagraph">
    <w:name w:val="List Paragraph"/>
    <w:uiPriority w:val="34"/>
    <w:qFormat/>
    <w:rsid w:val="009E68D0"/>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paragraph" w:styleId="FootnoteText">
    <w:name w:val="footnote text"/>
    <w:link w:val="FootnoteTextChar"/>
    <w:uiPriority w:val="99"/>
    <w:rsid w:val="009E68D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n-GB"/>
    </w:rPr>
  </w:style>
  <w:style w:type="character" w:customStyle="1" w:styleId="FootnoteTextChar">
    <w:name w:val="Footnote Text Char"/>
    <w:basedOn w:val="DefaultParagraphFont"/>
    <w:link w:val="FootnoteText"/>
    <w:uiPriority w:val="99"/>
    <w:rsid w:val="009E68D0"/>
    <w:rPr>
      <w:rFonts w:ascii="Calibri" w:eastAsia="Calibri" w:hAnsi="Calibri" w:cs="Calibri"/>
      <w:color w:val="000000"/>
      <w:sz w:val="20"/>
      <w:szCs w:val="20"/>
      <w:u w:color="000000"/>
      <w:bdr w:val="nil"/>
      <w:lang w:eastAsia="en-GB"/>
    </w:rPr>
  </w:style>
  <w:style w:type="table" w:styleId="TableGrid">
    <w:name w:val="Table Grid"/>
    <w:basedOn w:val="TableNormal"/>
    <w:uiPriority w:val="59"/>
    <w:rsid w:val="009E68D0"/>
    <w:pPr>
      <w:spacing w:after="0" w:line="240" w:lineRule="auto"/>
    </w:pPr>
    <w:rPr>
      <w:rFonts w:eastAsiaTheme="minorEastAsia"/>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E68D0"/>
    <w:rPr>
      <w:vertAlign w:val="superscript"/>
    </w:rPr>
  </w:style>
  <w:style w:type="paragraph" w:styleId="BalloonText">
    <w:name w:val="Balloon Text"/>
    <w:basedOn w:val="Normal"/>
    <w:link w:val="BalloonTextChar"/>
    <w:uiPriority w:val="99"/>
    <w:semiHidden/>
    <w:unhideWhenUsed/>
    <w:rsid w:val="009E68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8D0"/>
    <w:rPr>
      <w:rFonts w:ascii="Segoe UI" w:eastAsia="Arial Unicode MS" w:hAnsi="Segoe UI" w:cs="Segoe UI"/>
      <w:sz w:val="18"/>
      <w:szCs w:val="18"/>
      <w:bdr w:val="nil"/>
    </w:rPr>
  </w:style>
  <w:style w:type="character" w:styleId="Hyperlink">
    <w:name w:val="Hyperlink"/>
    <w:basedOn w:val="DefaultParagraphFont"/>
    <w:uiPriority w:val="99"/>
    <w:unhideWhenUsed/>
    <w:rsid w:val="009E68D0"/>
    <w:rPr>
      <w:color w:val="0000FF"/>
      <w:u w:val="single"/>
    </w:rPr>
  </w:style>
  <w:style w:type="character" w:styleId="CommentReference">
    <w:name w:val="annotation reference"/>
    <w:basedOn w:val="DefaultParagraphFont"/>
    <w:uiPriority w:val="99"/>
    <w:semiHidden/>
    <w:unhideWhenUsed/>
    <w:rsid w:val="009E68D0"/>
    <w:rPr>
      <w:sz w:val="16"/>
      <w:szCs w:val="16"/>
    </w:rPr>
  </w:style>
  <w:style w:type="paragraph" w:styleId="CommentText">
    <w:name w:val="annotation text"/>
    <w:basedOn w:val="Normal"/>
    <w:link w:val="CommentTextChar"/>
    <w:uiPriority w:val="99"/>
    <w:unhideWhenUsed/>
    <w:qFormat/>
    <w:rsid w:val="009E68D0"/>
    <w:rPr>
      <w:sz w:val="20"/>
      <w:szCs w:val="20"/>
    </w:rPr>
  </w:style>
  <w:style w:type="character" w:customStyle="1" w:styleId="CommentTextChar">
    <w:name w:val="Comment Text Char"/>
    <w:basedOn w:val="DefaultParagraphFont"/>
    <w:link w:val="CommentText"/>
    <w:uiPriority w:val="99"/>
    <w:qFormat/>
    <w:rsid w:val="009E68D0"/>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9E68D0"/>
    <w:rPr>
      <w:b/>
      <w:bCs/>
    </w:rPr>
  </w:style>
  <w:style w:type="character" w:customStyle="1" w:styleId="CommentSubjectChar">
    <w:name w:val="Comment Subject Char"/>
    <w:basedOn w:val="CommentTextChar"/>
    <w:link w:val="CommentSubject"/>
    <w:uiPriority w:val="99"/>
    <w:semiHidden/>
    <w:rsid w:val="009E68D0"/>
    <w:rPr>
      <w:rFonts w:ascii="Times New Roman" w:eastAsia="Arial Unicode MS" w:hAnsi="Times New Roman" w:cs="Times New Roman"/>
      <w:b/>
      <w:bCs/>
      <w:sz w:val="20"/>
      <w:szCs w:val="20"/>
      <w:bdr w:val="nil"/>
    </w:rPr>
  </w:style>
  <w:style w:type="numbering" w:customStyle="1" w:styleId="ImportedStyle5">
    <w:name w:val="Imported Style 5"/>
    <w:rsid w:val="009E68D0"/>
  </w:style>
  <w:style w:type="paragraph" w:customStyle="1" w:styleId="Default">
    <w:name w:val="Default"/>
    <w:rsid w:val="009E68D0"/>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GB" w:eastAsia="en-GB"/>
    </w:rPr>
  </w:style>
  <w:style w:type="character" w:styleId="Strong">
    <w:name w:val="Strong"/>
    <w:uiPriority w:val="22"/>
    <w:qFormat/>
    <w:rsid w:val="009E68D0"/>
    <w:rPr>
      <w:b/>
      <w:bCs/>
    </w:rPr>
  </w:style>
  <w:style w:type="paragraph" w:styleId="Revision">
    <w:name w:val="Revision"/>
    <w:hidden/>
    <w:uiPriority w:val="99"/>
    <w:semiHidden/>
    <w:rsid w:val="009E68D0"/>
    <w:pPr>
      <w:spacing w:after="0" w:line="240" w:lineRule="auto"/>
    </w:pPr>
    <w:rPr>
      <w:rFonts w:ascii="Times New Roman" w:eastAsia="Arial Unicode MS" w:hAnsi="Times New Roman" w:cs="Times New Roman"/>
      <w:sz w:val="24"/>
      <w:szCs w:val="24"/>
      <w:bdr w:val="nil"/>
    </w:rPr>
  </w:style>
  <w:style w:type="character" w:styleId="LineNumber">
    <w:name w:val="line number"/>
    <w:basedOn w:val="DefaultParagraphFont"/>
    <w:uiPriority w:val="99"/>
    <w:semiHidden/>
    <w:unhideWhenUsed/>
    <w:rsid w:val="009E68D0"/>
  </w:style>
  <w:style w:type="paragraph" w:customStyle="1" w:styleId="paragraph">
    <w:name w:val="paragraph"/>
    <w:basedOn w:val="Normal"/>
    <w:rsid w:val="00AC19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character" w:customStyle="1" w:styleId="normaltextrun">
    <w:name w:val="normaltextrun"/>
    <w:basedOn w:val="DefaultParagraphFont"/>
    <w:rsid w:val="00AC19F7"/>
  </w:style>
  <w:style w:type="character" w:customStyle="1" w:styleId="eop">
    <w:name w:val="eop"/>
    <w:basedOn w:val="DefaultParagraphFont"/>
    <w:rsid w:val="00AC19F7"/>
  </w:style>
  <w:style w:type="character" w:styleId="Emphasis">
    <w:name w:val="Emphasis"/>
    <w:basedOn w:val="DefaultParagraphFont"/>
    <w:uiPriority w:val="20"/>
    <w:qFormat/>
    <w:rsid w:val="00DF0B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656714">
      <w:bodyDiv w:val="1"/>
      <w:marLeft w:val="0"/>
      <w:marRight w:val="0"/>
      <w:marTop w:val="0"/>
      <w:marBottom w:val="0"/>
      <w:divBdr>
        <w:top w:val="none" w:sz="0" w:space="0" w:color="auto"/>
        <w:left w:val="none" w:sz="0" w:space="0" w:color="auto"/>
        <w:bottom w:val="none" w:sz="0" w:space="0" w:color="auto"/>
        <w:right w:val="none" w:sz="0" w:space="0" w:color="auto"/>
      </w:divBdr>
    </w:div>
    <w:div w:id="1149714699">
      <w:bodyDiv w:val="1"/>
      <w:marLeft w:val="0"/>
      <w:marRight w:val="0"/>
      <w:marTop w:val="0"/>
      <w:marBottom w:val="0"/>
      <w:divBdr>
        <w:top w:val="none" w:sz="0" w:space="0" w:color="auto"/>
        <w:left w:val="none" w:sz="0" w:space="0" w:color="auto"/>
        <w:bottom w:val="none" w:sz="0" w:space="0" w:color="auto"/>
        <w:right w:val="none" w:sz="0" w:space="0" w:color="auto"/>
      </w:divBdr>
      <w:divsChild>
        <w:div w:id="1307592207">
          <w:marLeft w:val="0"/>
          <w:marRight w:val="0"/>
          <w:marTop w:val="0"/>
          <w:marBottom w:val="0"/>
          <w:divBdr>
            <w:top w:val="none" w:sz="0" w:space="0" w:color="auto"/>
            <w:left w:val="none" w:sz="0" w:space="0" w:color="auto"/>
            <w:bottom w:val="none" w:sz="0" w:space="0" w:color="auto"/>
            <w:right w:val="none" w:sz="0" w:space="0" w:color="auto"/>
          </w:divBdr>
        </w:div>
        <w:div w:id="1420634554">
          <w:marLeft w:val="0"/>
          <w:marRight w:val="0"/>
          <w:marTop w:val="0"/>
          <w:marBottom w:val="0"/>
          <w:divBdr>
            <w:top w:val="none" w:sz="0" w:space="0" w:color="auto"/>
            <w:left w:val="none" w:sz="0" w:space="0" w:color="auto"/>
            <w:bottom w:val="none" w:sz="0" w:space="0" w:color="auto"/>
            <w:right w:val="none" w:sz="0" w:space="0" w:color="auto"/>
          </w:divBdr>
        </w:div>
        <w:div w:id="1423063503">
          <w:marLeft w:val="0"/>
          <w:marRight w:val="0"/>
          <w:marTop w:val="0"/>
          <w:marBottom w:val="0"/>
          <w:divBdr>
            <w:top w:val="none" w:sz="0" w:space="0" w:color="auto"/>
            <w:left w:val="none" w:sz="0" w:space="0" w:color="auto"/>
            <w:bottom w:val="none" w:sz="0" w:space="0" w:color="auto"/>
            <w:right w:val="none" w:sz="0" w:space="0" w:color="auto"/>
          </w:divBdr>
        </w:div>
      </w:divsChild>
    </w:div>
    <w:div w:id="1803381994">
      <w:bodyDiv w:val="1"/>
      <w:marLeft w:val="0"/>
      <w:marRight w:val="0"/>
      <w:marTop w:val="0"/>
      <w:marBottom w:val="0"/>
      <w:divBdr>
        <w:top w:val="none" w:sz="0" w:space="0" w:color="auto"/>
        <w:left w:val="none" w:sz="0" w:space="0" w:color="auto"/>
        <w:bottom w:val="none" w:sz="0" w:space="0" w:color="auto"/>
        <w:right w:val="none" w:sz="0" w:space="0" w:color="auto"/>
      </w:divBdr>
    </w:div>
    <w:div w:id="18227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 xmlns="4dad5fa0-f1d5-4246-b54d-578dc89c5114">TEL61 Meeting, 14-15 Oct</Meeting>
    <Access xmlns="4dad5fa0-f1d5-4246-b54d-578dc89c5114">Public</Access>
    <Pre-Doc_x0020_No xmlns="4dad5fa0-f1d5-4246-b54d-578dc89c5114" xsi:nil="true"/>
    <Reason_x0020_for_x0020_Restriction xmlns="4dad5fa0-f1d5-4246-b54d-578dc89c5114" xsi:nil="true"/>
    <Submitted_x0020_By xmlns="4dad5fa0-f1d5-4246-b54d-578dc89c5114">APEC Secretariat</Submitted_x0020_By>
    <Purpose1 xmlns="4dad5fa0-f1d5-4246-b54d-578dc89c5114">Information</Purpose1>
    <Derestriction_x0020_Date xmlns="4dad5fa0-f1d5-4246-b54d-578dc89c5114" xsi:nil="true"/>
    <Contact_x0020_Person xmlns="4dad5fa0-f1d5-4246-b54d-578dc89c5114">Syahniza Md. Shah</Contact_x0020_Person>
    <Agenda xmlns="4dad5fa0-f1d5-4246-b54d-578dc89c5114">7</Agenda>
    <Doc_x0020_Title xmlns="4dad5fa0-f1d5-4246-b54d-578dc89c5114">SAP 2021-2025 Final Agreed Text as of 14 Oct 2020</Doc_x0020_Title>
    <Processed xmlns="4dad5fa0-f1d5-4246-b54d-578dc89c5114">Yes</Processed>
    <Create_x003f_ xmlns="4dad5fa0-f1d5-4246-b54d-578dc89c5114">Done</Create_x003f_>
    <Discuss xmlns="4dad5fa0-f1d5-4246-b54d-578dc89c5114" xsi:nil="true"/>
    <VenueCity xmlns="4dad5fa0-f1d5-4246-b54d-578dc89c5114">Working Group Meeting</VenueCity>
    <MeetingName xmlns="4dad5fa0-f1d5-4246-b54d-578dc89c5114">61st Telecommunications and Information</MeetingName>
    <Doc_x0020_No xmlns="4dad5fa0-f1d5-4246-b54d-578dc89c5114">2020/TEL61/010</Doc_x0020_No>
    <MeetingDates xmlns="4dad5fa0-f1d5-4246-b54d-578dc89c5114">14-15 October 2020</MeetingDates>
  </documentManagement>
</p:properties>
</file>

<file path=customXml/item3.xml><?xml version="1.0" encoding="utf-8"?>
<ct:contentTypeSchema xmlns:ct="http://schemas.microsoft.com/office/2006/metadata/contentType" xmlns:ma="http://schemas.microsoft.com/office/2006/metadata/properties/metaAttributes" ct:_="" ma:_="" ma:contentTypeName="APEC Pre-Meeting" ma:contentTypeID="0x010100869C005FB7485A438C9D325B6F17F81A010082F61BE2E1592249AAE07130496F1F7F" ma:contentTypeVersion="23" ma:contentTypeDescription="" ma:contentTypeScope="" ma:versionID="fa86f6fbebcdede21d24ec715a12b3f3">
  <xsd:schema xmlns:xsd="http://www.w3.org/2001/XMLSchema" xmlns:xs="http://www.w3.org/2001/XMLSchema" xmlns:p="http://schemas.microsoft.com/office/2006/metadata/properties" xmlns:ns2="4dad5fa0-f1d5-4246-b54d-578dc89c5114" xmlns:ns4="7d58a3ab-4dd6-44b1-bb1f-b04829457537" targetNamespace="http://schemas.microsoft.com/office/2006/metadata/properties" ma:root="true" ma:fieldsID="2ea2ef3e97444450c600e88112013caf" ns2:_="" ns4:_="">
    <xsd:import namespace="4dad5fa0-f1d5-4246-b54d-578dc89c5114"/>
    <xsd:import namespace="7d58a3ab-4dd6-44b1-bb1f-b04829457537"/>
    <xsd:element name="properties">
      <xsd:complexType>
        <xsd:sequence>
          <xsd:element name="documentManagement">
            <xsd:complexType>
              <xsd:all>
                <xsd:element ref="ns2:Access"/>
                <xsd:element ref="ns2:Agenda"/>
                <xsd:element ref="ns2:Contact_x0020_Person"/>
                <xsd:element ref="ns2:Create_x003f_" minOccurs="0"/>
                <xsd:element ref="ns2:Derestriction_x0020_Date" minOccurs="0"/>
                <xsd:element ref="ns2:Discuss" minOccurs="0"/>
                <xsd:element ref="ns2:Doc_x0020_No" minOccurs="0"/>
                <xsd:element ref="ns2:Doc_x0020_Title"/>
                <xsd:element ref="ns2:Meeting"/>
                <xsd:element ref="ns2:MeetingDates" minOccurs="0"/>
                <xsd:element ref="ns2:MeetingName" minOccurs="0"/>
                <xsd:element ref="ns2:Pre-Doc_x0020_No" minOccurs="0"/>
                <xsd:element ref="ns2:Processed" minOccurs="0"/>
                <xsd:element ref="ns2:Purpose1"/>
                <xsd:element ref="ns2:Reason_x0020_for_x0020_Restriction" minOccurs="0"/>
                <xsd:element ref="ns2:Submitted_x0020_By"/>
                <xsd:element ref="ns2:VenueCity"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d5fa0-f1d5-4246-b54d-578dc89c5114" elementFormDefault="qualified">
    <xsd:import namespace="http://schemas.microsoft.com/office/2006/documentManagement/types"/>
    <xsd:import namespace="http://schemas.microsoft.com/office/infopath/2007/PartnerControls"/>
    <xsd:element name="Access" ma:index="2" ma:displayName="Access" ma:format="RadioButtons" ma:internalName="Access" ma:readOnly="false">
      <xsd:simpleType>
        <xsd:restriction base="dms:Choice">
          <xsd:enumeration value="Public"/>
          <xsd:enumeration value="Restricted"/>
        </xsd:restriction>
      </xsd:simpleType>
    </xsd:element>
    <xsd:element name="Agenda" ma:index="3" ma:displayName="Agenda" ma:internalName="Agenda" ma:readOnly="false">
      <xsd:simpleType>
        <xsd:restriction base="dms:Text">
          <xsd:maxLength value="255"/>
        </xsd:restriction>
      </xsd:simpleType>
    </xsd:element>
    <xsd:element name="Contact_x0020_Person" ma:index="4" ma:displayName="Contact Person" ma:internalName="Contact_x0020_Person" ma:readOnly="false">
      <xsd:simpleType>
        <xsd:restriction base="dms:Note">
          <xsd:maxLength value="255"/>
        </xsd:restriction>
      </xsd:simpleType>
    </xsd:element>
    <xsd:element name="Create_x003f_" ma:index="5" nillable="true" ma:displayName="Create Cover Page?" ma:default="No" ma:format="Dropdown" ma:internalName="Create_x003F_" ma:readOnly="false">
      <xsd:simpleType>
        <xsd:restriction base="dms:Choice">
          <xsd:enumeration value="Yes"/>
          <xsd:enumeration value="No"/>
          <xsd:enumeration value="Done"/>
        </xsd:restriction>
      </xsd:simpleType>
    </xsd:element>
    <xsd:element name="Derestriction_x0020_Date" ma:index="6" nillable="true" ma:displayName="Derestriction Date" ma:internalName="Derestriction_x0020_Date">
      <xsd:simpleType>
        <xsd:restriction base="dms:Text">
          <xsd:maxLength value="255"/>
        </xsd:restriction>
      </xsd:simpleType>
    </xsd:element>
    <xsd:element name="Discuss" ma:index="7" nillable="true" ma:displayName="Discuss" ma:internalName="Discuss">
      <xsd:simpleType>
        <xsd:restriction base="dms:Text">
          <xsd:maxLength value="255"/>
        </xsd:restriction>
      </xsd:simpleType>
    </xsd:element>
    <xsd:element name="Doc_x0020_No" ma:index="8" nillable="true" ma:displayName="Doc No" ma:internalName="Doc_x0020_No">
      <xsd:simpleType>
        <xsd:restriction base="dms:Text">
          <xsd:maxLength value="255"/>
        </xsd:restriction>
      </xsd:simpleType>
    </xsd:element>
    <xsd:element name="Doc_x0020_Title" ma:index="9" ma:displayName="Doc Title" ma:internalName="Doc_x0020_Title" ma:readOnly="false">
      <xsd:simpleType>
        <xsd:restriction base="dms:Note">
          <xsd:maxLength value="255"/>
        </xsd:restriction>
      </xsd:simpleType>
    </xsd:element>
    <xsd:element name="Meeting" ma:index="10" ma:displayName="Meeting" ma:format="RadioButtons" ma:internalName="Meeting" ma:readOnly="false">
      <xsd:simpleType>
        <xsd:restriction base="dms:Choice">
          <xsd:enumeration value="LSG- CA &amp; MRA Taskforce - 2 Oct"/>
          <xsd:enumeration value="LSG Meeting - 5 Oct"/>
          <xsd:enumeration value="DSG Meeting - 7 Oct"/>
          <xsd:enumeration value="SPSG Meeting - 9 Oct"/>
          <xsd:enumeration value="TEL61 Meeting, 14-15 Oct"/>
        </xsd:restriction>
      </xsd:simpleType>
    </xsd:element>
    <xsd:element name="MeetingDates" ma:index="11" nillable="true" ma:displayName="Meeting Dates" ma:internalName="MeetingDates" ma:readOnly="false">
      <xsd:simpleType>
        <xsd:restriction base="dms:Text">
          <xsd:maxLength value="255"/>
        </xsd:restriction>
      </xsd:simpleType>
    </xsd:element>
    <xsd:element name="MeetingName" ma:index="12" nillable="true" ma:displayName="Meeting Name" ma:internalName="MeetingName" ma:readOnly="false">
      <xsd:simpleType>
        <xsd:restriction base="dms:Text">
          <xsd:maxLength value="255"/>
        </xsd:restriction>
      </xsd:simpleType>
    </xsd:element>
    <xsd:element name="Pre-Doc_x0020_No" ma:index="13" nillable="true" ma:displayName="Pre-Doc No" ma:internalName="Pre_x002d_Doc_x0020_No">
      <xsd:simpleType>
        <xsd:restriction base="dms:Text">
          <xsd:maxLength value="255"/>
        </xsd:restriction>
      </xsd:simpleType>
    </xsd:element>
    <xsd:element name="Processed" ma:index="14" nillable="true" ma:displayName="Processed" ma:default="No" ma:description="For APEC Secretariat Use Only &#10;- To flag whether the document is processed to be moved to Pre-Meeting Document Library" ma:format="Dropdown" ma:internalName="Processed">
      <xsd:simpleType>
        <xsd:restriction base="dms:Choice">
          <xsd:enumeration value="Yes"/>
          <xsd:enumeration value="No"/>
        </xsd:restriction>
      </xsd:simpleType>
    </xsd:element>
    <xsd:element name="Purpose1" ma:index="15" ma:displayName="Purpose" ma:format="RadioButtons" ma:internalName="Purpose1" ma:readOnly="false">
      <xsd:simpleType>
        <xsd:restriction base="dms:Choice">
          <xsd:enumeration value="Consideration"/>
          <xsd:enumeration value="Information"/>
        </xsd:restriction>
      </xsd:simpleType>
    </xsd:element>
    <xsd:element name="Reason_x0020_for_x0020_Restriction" ma:index="16" nillable="true" ma:displayName="Reason for Restriction" ma:internalName="Reason_x0020_for_x0020_Restriction">
      <xsd:simpleType>
        <xsd:restriction base="dms:Note">
          <xsd:maxLength value="255"/>
        </xsd:restriction>
      </xsd:simpleType>
    </xsd:element>
    <xsd:element name="Submitted_x0020_By" ma:index="17" ma:displayName="Submitted By" ma:description="Your economy or your forum in APEC (e.g. Australia or Chair of XXXWG)" ma:internalName="Submitted_x0020_By" ma:readOnly="false">
      <xsd:simpleType>
        <xsd:restriction base="dms:Text">
          <xsd:maxLength value="255"/>
        </xsd:restriction>
      </xsd:simpleType>
    </xsd:element>
    <xsd:element name="VenueCity" ma:index="18" nillable="true" ma:displayName="Venue City" ma:internalName="VenueC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58a3ab-4dd6-44b1-bb1f-b04829457537"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79633-581F-48E4-A098-D4FA08BDDE92}">
  <ds:schemaRefs>
    <ds:schemaRef ds:uri="http://schemas.microsoft.com/sharepoint/v3/contenttype/forms"/>
  </ds:schemaRefs>
</ds:datastoreItem>
</file>

<file path=customXml/itemProps2.xml><?xml version="1.0" encoding="utf-8"?>
<ds:datastoreItem xmlns:ds="http://schemas.openxmlformats.org/officeDocument/2006/customXml" ds:itemID="{34C4B26B-EDDB-434A-9440-03C3F8735B1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7d58a3ab-4dd6-44b1-bb1f-b04829457537"/>
    <ds:schemaRef ds:uri="http://schemas.openxmlformats.org/package/2006/metadata/core-properties"/>
    <ds:schemaRef ds:uri="4dad5fa0-f1d5-4246-b54d-578dc89c5114"/>
    <ds:schemaRef ds:uri="http://www.w3.org/XML/1998/namespace"/>
  </ds:schemaRefs>
</ds:datastoreItem>
</file>

<file path=customXml/itemProps3.xml><?xml version="1.0" encoding="utf-8"?>
<ds:datastoreItem xmlns:ds="http://schemas.openxmlformats.org/officeDocument/2006/customXml" ds:itemID="{5B42DF57-33EF-42FC-9332-677B5EBD3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d5fa0-f1d5-4246-b54d-578dc89c5114"/>
    <ds:schemaRef ds:uri="7d58a3ab-4dd6-44b1-bb1f-b04829457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B9AB3-745B-4441-BF3D-04673D6A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2237</Words>
  <Characters>12757</Characters>
  <Application>Microsoft Office Word</Application>
  <DocSecurity>0</DocSecurity>
  <Lines>106</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SAP 2021-2025 Final Agreed Text as of 14 Oct 2020</vt:lpstr>
      <vt:lpstr>Draft SAP 2021-25 as of end 16 Oct 2019</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 2021-2025 Final Agreed Text as of 14 Oct 2020</dc:title>
  <dc:subject/>
  <dc:creator>Syahniza Md Shah</dc:creator>
  <cp:keywords/>
  <dc:description/>
  <cp:lastModifiedBy>Kirill Makhrin</cp:lastModifiedBy>
  <cp:revision>4</cp:revision>
  <cp:lastPrinted>2020-09-21T01:53:00Z</cp:lastPrinted>
  <dcterms:created xsi:type="dcterms:W3CDTF">2020-10-14T04:13:00Z</dcterms:created>
  <dcterms:modified xsi:type="dcterms:W3CDTF">2021-02-03T12:27:00Z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0x010100869C005FB7485A438C9D325B6F17F81A010082F61BE2E1592249AAE07130496F1F7F</vt:lpwstr>
  </property>
  <property fmtid="{D5CDD505-2E9C-101B-9397-08002B2CF9AE}" pid="3" name="ACS WF - Copy to Pre-Meeting">
    <vt:lpwstr>, </vt:lpwstr>
  </property>
  <property fmtid="{D5CDD505-2E9C-101B-9397-08002B2CF9AE}" pid="4" name="WorkflowChangePath">
    <vt:lpwstr>84f8cbc5-53e2-4827-9539-da9d9af1dd71,5;84f8cbc5-53e2-4827-9539-da9d9af1dd71,5;</vt:lpwstr>
  </property>
  <property fmtid="{D5CDD505-2E9C-101B-9397-08002B2CF9AE}" pid="5" name="_MarkAsFinal">
    <vt:bool>true</vt:bool>
  </property>
</Properties>
</file>