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B4F" w:rsidRDefault="004E1B4F" w:rsidP="004E1B4F">
      <w:bookmarkStart w:id="0" w:name="_GoBack"/>
      <w:bookmarkEnd w:id="0"/>
    </w:p>
    <w:p w:rsidR="004E1B4F" w:rsidRPr="00431DDD" w:rsidRDefault="004E1B4F" w:rsidP="004E1B4F">
      <w:pPr>
        <w:pBdr>
          <w:top w:val="single" w:sz="4" w:space="1" w:color="auto"/>
          <w:left w:val="single" w:sz="4" w:space="4" w:color="auto"/>
          <w:bottom w:val="single" w:sz="4" w:space="1" w:color="auto"/>
          <w:right w:val="single" w:sz="4" w:space="4" w:color="auto"/>
        </w:pBdr>
        <w:jc w:val="center"/>
        <w:rPr>
          <w:b/>
        </w:rPr>
      </w:pPr>
      <w:r>
        <w:rPr>
          <w:b/>
        </w:rPr>
        <w:t>"EU bygges nedefra og op sammen med vores regioner og byer"</w:t>
      </w:r>
    </w:p>
    <w:p w:rsidR="004E1B4F" w:rsidRPr="00431DDD" w:rsidRDefault="004E1B4F" w:rsidP="004E1B4F">
      <w:pPr>
        <w:pBdr>
          <w:top w:val="single" w:sz="4" w:space="1" w:color="auto"/>
          <w:left w:val="single" w:sz="4" w:space="4" w:color="auto"/>
          <w:bottom w:val="single" w:sz="4" w:space="1" w:color="auto"/>
          <w:right w:val="single" w:sz="4" w:space="4" w:color="auto"/>
        </w:pBdr>
        <w:jc w:val="center"/>
        <w:rPr>
          <w:b/>
        </w:rPr>
      </w:pPr>
    </w:p>
    <w:p w:rsidR="004E1B4F" w:rsidRPr="00431DDD" w:rsidRDefault="004E1B4F" w:rsidP="004E1B4F">
      <w:pPr>
        <w:pBdr>
          <w:top w:val="single" w:sz="4" w:space="1" w:color="auto"/>
          <w:left w:val="single" w:sz="4" w:space="4" w:color="auto"/>
          <w:bottom w:val="single" w:sz="4" w:space="1" w:color="auto"/>
          <w:right w:val="single" w:sz="4" w:space="4" w:color="auto"/>
        </w:pBdr>
        <w:jc w:val="center"/>
      </w:pPr>
      <w:r>
        <w:t>Bukaresterklæringen</w:t>
      </w:r>
    </w:p>
    <w:p w:rsidR="004E1B4F" w:rsidRPr="00431DDD" w:rsidRDefault="004E1B4F" w:rsidP="004E1B4F">
      <w:pPr>
        <w:pBdr>
          <w:top w:val="single" w:sz="4" w:space="1" w:color="auto"/>
          <w:left w:val="single" w:sz="4" w:space="4" w:color="auto"/>
          <w:bottom w:val="single" w:sz="4" w:space="1" w:color="auto"/>
          <w:right w:val="single" w:sz="4" w:space="4" w:color="auto"/>
        </w:pBdr>
        <w:jc w:val="center"/>
      </w:pPr>
      <w:r>
        <w:t>Det Europæiske Regionsudvalg</w:t>
      </w:r>
    </w:p>
    <w:p w:rsidR="004E1B4F" w:rsidRPr="00431DDD" w:rsidRDefault="004E1B4F" w:rsidP="004E1B4F">
      <w:pPr>
        <w:pBdr>
          <w:top w:val="single" w:sz="4" w:space="1" w:color="auto"/>
          <w:left w:val="single" w:sz="4" w:space="4" w:color="auto"/>
          <w:bottom w:val="single" w:sz="4" w:space="1" w:color="auto"/>
          <w:right w:val="single" w:sz="4" w:space="4" w:color="auto"/>
        </w:pBdr>
        <w:jc w:val="center"/>
        <w:rPr>
          <w:b/>
        </w:rPr>
      </w:pPr>
      <w:r>
        <w:t>Det 8. europæiske topmøde for regioner og byer den 14.-15. marts 2019</w:t>
      </w:r>
    </w:p>
    <w:p w:rsidR="004E1B4F" w:rsidRPr="00431DDD" w:rsidRDefault="004E1B4F" w:rsidP="004E1B4F">
      <w:r>
        <w:rPr>
          <w:noProof/>
        </w:rPr>
        <mc:AlternateContent>
          <mc:Choice Requires="wps">
            <w:drawing>
              <wp:anchor distT="0" distB="0" distL="114300" distR="114300" simplePos="0" relativeHeight="251659264" behindDoc="1" locked="0" layoutInCell="0" allowOverlap="1">
                <wp:simplePos x="0" y="0"/>
                <wp:positionH relativeFrom="page">
                  <wp:posOffset>6769100</wp:posOffset>
                </wp:positionH>
                <wp:positionV relativeFrom="page">
                  <wp:posOffset>10081260</wp:posOffset>
                </wp:positionV>
                <wp:extent cx="647700" cy="396240"/>
                <wp:effectExtent l="0" t="0" r="0" b="381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B4F" w:rsidRPr="00260E65" w:rsidRDefault="004E1B4F" w:rsidP="004E1B4F">
                            <w:pPr>
                              <w:jc w:val="center"/>
                              <w:rPr>
                                <w:rFonts w:ascii="Arial" w:hAnsi="Arial" w:cs="Arial"/>
                                <w:b/>
                                <w:bCs/>
                                <w:sz w:val="48"/>
                              </w:rPr>
                            </w:pPr>
                            <w:r>
                              <w:rPr>
                                <w:rFonts w:ascii="Arial" w:hAnsi="Arial"/>
                                <w:b/>
                                <w:bCs/>
                                <w:sz w:val="48"/>
                              </w:rPr>
                              <w:t>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O4r5X7YCAAC5&#10;BQAADgAAAAAAAAAAAAAAAAAuAgAAZHJzL2Uyb0RvYy54bWxQSwECLQAUAAYACAAAACEA61QxWt4A&#10;AAAPAQAADwAAAAAAAAAAAAAAAAAQBQAAZHJzL2Rvd25yZXYueG1sUEsFBgAAAAAEAAQA8wAAABsG&#10;AAAAAA==&#10;" o:allowincell="f" filled="f" stroked="f">
                <v:textbox>
                  <w:txbxContent>
                    <w:p w:rsidR="004E1B4F" w:rsidRPr="00260E65" w:rsidRDefault="004E1B4F" w:rsidP="004E1B4F">
                      <w:pPr>
                        <w:jc w:val="center"/>
                        <w:rPr>
                          <w:rFonts w:ascii="Arial" w:hAnsi="Arial" w:cs="Arial"/>
                          <w:b/>
                          <w:bCs/>
                          <w:sz w:val="48"/>
                        </w:rPr>
                      </w:pPr>
                      <w:r>
                        <w:rPr>
                          <w:rFonts w:ascii="Arial" w:hAnsi="Arial"/>
                          <w:b/>
                          <w:bCs/>
                          <w:sz w:val="48"/>
                        </w:rPr>
                        <w:t>DA</w:t>
                      </w:r>
                    </w:p>
                  </w:txbxContent>
                </v:textbox>
                <w10:wrap anchorx="page" anchory="page"/>
              </v:shape>
            </w:pict>
          </mc:Fallback>
        </mc:AlternateContent>
      </w:r>
    </w:p>
    <w:p w:rsidR="004E1B4F" w:rsidRPr="00431DDD" w:rsidRDefault="004E1B4F" w:rsidP="004E1B4F">
      <w:r>
        <w:t xml:space="preserve">Den Europæiske Union, der bygger på principperne om frihed, solidaritet, demokrati og respekt for menneskerettighederne, grundlæggende friheder og retsstaten, har sikret Europas befolkning varig fred og udvikling. </w:t>
      </w:r>
    </w:p>
    <w:p w:rsidR="004E1B4F" w:rsidRPr="00431DDD" w:rsidRDefault="004E1B4F" w:rsidP="004E1B4F"/>
    <w:p w:rsidR="004E1B4F" w:rsidRPr="00431DDD" w:rsidRDefault="004E1B4F" w:rsidP="004E1B4F">
      <w:r>
        <w:t>Forandringerne i Europa foregår med hidtil uset hastighed som følge af globaliseringen, den digitale revolution, klimaet og den demografiske udvikling. Hvis vi ikke ønsker, at den europæiske integration rulles tilbage, skal disse forandringer, som blotlægger de sociale, økonomiske og territoriale uligheder, ledsages, formes og reguleres via fælles anstrengelser på alle myndighedsniveauer, især i betragtning af at en tredjedel af alle offentlige udgifter og mere end halvdelen af de offentlige investeringer finder sted på subnationalt niveau.</w:t>
      </w:r>
    </w:p>
    <w:p w:rsidR="004E1B4F" w:rsidRPr="00431DDD" w:rsidRDefault="004E1B4F" w:rsidP="004E1B4F"/>
    <w:p w:rsidR="004E1B4F" w:rsidRPr="00431DDD" w:rsidRDefault="004E1B4F" w:rsidP="004E1B4F">
      <w:r>
        <w:t>Dertil kommer, at tilliden til de lokale og regionale myndighedsniveauer som regel er større end tilliden til de nationale regeringer og i de fleste medlemsstater også større end tilliden til EU. På denne baggrund sikrer EU's byer og regioner og deres folkevalgte repræsentanter nærhed, tillid og stabilitet i Unionen i en tid med voksende forskelle og modsætninger. Denne stabilitet er altafgørende for at kunne fortsætte udformningen af en fælles europæisk fremtid for den næste generation.</w:t>
      </w:r>
    </w:p>
    <w:p w:rsidR="004E1B4F" w:rsidRPr="00431DDD" w:rsidRDefault="004E1B4F" w:rsidP="004E1B4F"/>
    <w:p w:rsidR="004E1B4F" w:rsidRPr="00431DDD" w:rsidRDefault="004E1B4F" w:rsidP="004E1B4F">
      <w:pPr>
        <w:rPr>
          <w:color w:val="000000" w:themeColor="text1"/>
        </w:rPr>
      </w:pPr>
      <w:r>
        <w:rPr>
          <w:color w:val="000000" w:themeColor="text1"/>
        </w:rPr>
        <w:t>Som politikere valgt på regionalt og lokalt niveau i EU er vi overbeviste om, at Den Europæiske Union har lige så meget brug for regionerne og byerne, som de har brug for Den Europæiske Union.</w:t>
      </w:r>
    </w:p>
    <w:p w:rsidR="004E1B4F" w:rsidRPr="00431DDD" w:rsidRDefault="004E1B4F" w:rsidP="004E1B4F"/>
    <w:p w:rsidR="004E1B4F" w:rsidRPr="00431DDD" w:rsidRDefault="004E1B4F" w:rsidP="004E1B4F">
      <w:pPr>
        <w:rPr>
          <w:color w:val="000000" w:themeColor="text1"/>
          <w:u w:color="000000"/>
        </w:rPr>
      </w:pPr>
      <w:r>
        <w:rPr>
          <w:color w:val="000000" w:themeColor="text1"/>
          <w:u w:color="000000"/>
        </w:rPr>
        <w:t>Denne erklæring er vores bidrag til det forberedende arbejde med den strategiske dagsorden for 2019</w:t>
      </w:r>
      <w:r>
        <w:rPr>
          <w:color w:val="000000" w:themeColor="text1"/>
          <w:u w:color="000000"/>
        </w:rPr>
        <w:noBreakHyphen/>
        <w:t>2024, hvis hovedlinjer EU-lederne skal fastlægge i Sibiu den 9. maj 2019.</w:t>
      </w:r>
    </w:p>
    <w:p w:rsidR="004E1B4F" w:rsidRPr="00431DDD" w:rsidRDefault="004E1B4F" w:rsidP="004E1B4F">
      <w:pPr>
        <w:contextualSpacing/>
        <w:rPr>
          <w:b/>
        </w:rPr>
      </w:pPr>
    </w:p>
    <w:p w:rsidR="004E1B4F" w:rsidRPr="00431DDD" w:rsidRDefault="004E1B4F" w:rsidP="004E1B4F">
      <w:pPr>
        <w:shd w:val="clear" w:color="auto" w:fill="D9D9D9" w:themeFill="background1" w:themeFillShade="D9"/>
        <w:contextualSpacing/>
        <w:rPr>
          <w:b/>
        </w:rPr>
      </w:pPr>
      <w:r>
        <w:rPr>
          <w:b/>
        </w:rPr>
        <w:t>Styrkelse af Den Europæiske Unions demokratiske fundament</w:t>
      </w:r>
    </w:p>
    <w:p w:rsidR="004E1B4F" w:rsidRPr="00431DDD" w:rsidRDefault="004E1B4F" w:rsidP="004E1B4F">
      <w:pPr>
        <w:numPr>
          <w:ilvl w:val="0"/>
          <w:numId w:val="3"/>
        </w:numPr>
        <w:ind w:left="567" w:hanging="567"/>
        <w:contextualSpacing/>
      </w:pPr>
      <w:r>
        <w:t xml:space="preserve">Lokalt og regionalt demokrati er en væsentlig del af demokratiet i EU. Flerniveaustyring er afgørende for aktiv og lige deltagelse af alle myndighedsniveauer i et klima af tillid. Et sådant loyalt samarbejde mellem alle niveauer er afgørende for, at EU kan opfylde sine målsætninger om økonomisk og social fremgang for borgerne, uanset hvor de bor, på fuldt ud ansvarlig, effektiv og gennemsigtig vis. </w:t>
      </w:r>
    </w:p>
    <w:p w:rsidR="004E1B4F" w:rsidRPr="00431DDD" w:rsidRDefault="004E1B4F" w:rsidP="004E1B4F">
      <w:pPr>
        <w:ind w:left="567" w:hanging="567"/>
        <w:contextualSpacing/>
      </w:pPr>
    </w:p>
    <w:p w:rsidR="004E1B4F" w:rsidRDefault="004E1B4F" w:rsidP="00DA2070">
      <w:pPr>
        <w:numPr>
          <w:ilvl w:val="0"/>
          <w:numId w:val="3"/>
        </w:numPr>
        <w:ind w:left="567" w:hanging="567"/>
        <w:contextualSpacing/>
      </w:pPr>
      <w:r>
        <w:t>Efterlevelse af princippet om "aktiv nærhed" er helt afgørende for, at beslutningerne afspejler den europæiske merværdi og træffes så tæt på borgerne som muligt på fuldt ud ansvarlig, effektiv og gennemsigtig vis.</w:t>
      </w:r>
    </w:p>
    <w:p w:rsidR="00867385" w:rsidRDefault="00867385" w:rsidP="00867385">
      <w:pPr>
        <w:pStyle w:val="ListParagraph"/>
      </w:pPr>
    </w:p>
    <w:p w:rsidR="00867385" w:rsidRDefault="00867385" w:rsidP="00867385">
      <w:pPr>
        <w:ind w:left="567"/>
        <w:contextualSpacing/>
      </w:pPr>
    </w:p>
    <w:p w:rsidR="004E1B4F" w:rsidRPr="00431DDD" w:rsidRDefault="004E1B4F" w:rsidP="004E1B4F">
      <w:pPr>
        <w:numPr>
          <w:ilvl w:val="0"/>
          <w:numId w:val="3"/>
        </w:numPr>
        <w:ind w:left="567" w:hanging="567"/>
        <w:contextualSpacing/>
      </w:pPr>
      <w:r>
        <w:lastRenderedPageBreak/>
        <w:t>Under hensyntagen til de nationale rammer er øget decentralisering og en bedre fordeling af kompetencer afgørende elementer i god forvaltning, da gennemsigtigheden, ansvarligheden og kvaliteten i den politiske beslutningsproces øges gennem større inddragelse af borgerne.</w:t>
      </w:r>
    </w:p>
    <w:p w:rsidR="004E1B4F" w:rsidRPr="00431DDD" w:rsidRDefault="004E1B4F" w:rsidP="004E1B4F">
      <w:pPr>
        <w:ind w:left="567" w:hanging="567"/>
        <w:contextualSpacing/>
      </w:pPr>
    </w:p>
    <w:p w:rsidR="004E1B4F" w:rsidRPr="00431DDD" w:rsidRDefault="004E1B4F" w:rsidP="004E1B4F">
      <w:pPr>
        <w:pStyle w:val="ListParagraph"/>
        <w:numPr>
          <w:ilvl w:val="0"/>
          <w:numId w:val="3"/>
        </w:numPr>
        <w:ind w:left="567" w:hanging="567"/>
      </w:pPr>
      <w:r>
        <w:t>Båndet mellem Unionen og borgerne bør forstærkes. Vi tilslutter os opfordringen til flere kanaler for demokratisk deltagelse. Vi støtter aktivt iværksættelsen af en permanent EU-ordning for borgerhøringer.</w:t>
      </w:r>
    </w:p>
    <w:p w:rsidR="004E1B4F" w:rsidRPr="00431DDD" w:rsidRDefault="004E1B4F" w:rsidP="004E1B4F"/>
    <w:p w:rsidR="004E1B4F" w:rsidRPr="00431DDD" w:rsidRDefault="004E1B4F" w:rsidP="004E1B4F">
      <w:pPr>
        <w:numPr>
          <w:ilvl w:val="0"/>
          <w:numId w:val="3"/>
        </w:numPr>
        <w:ind w:left="567" w:hanging="567"/>
        <w:contextualSpacing/>
      </w:pPr>
      <w:r>
        <w:t>Det er yderst vigtigt</w:t>
      </w:r>
      <w:r w:rsidRPr="002F5716">
        <w:t>, at EU-borgerne, navnlig de unge, bliver bevidste</w:t>
      </w:r>
      <w:r>
        <w:t xml:space="preserve"> om den europæiske dimension af deres identitet og borgerskab, først og fremmest gennem uddannelses- og kulturpolitikkerne og de politikker, der øger de unges muligheder for indflydelse, med det sigte at forstærke deres følelse af at være en del af det europæiske projekt.</w:t>
      </w:r>
    </w:p>
    <w:p w:rsidR="004E1B4F" w:rsidRPr="00431DDD" w:rsidRDefault="004E1B4F" w:rsidP="004E1B4F">
      <w:pPr>
        <w:ind w:left="360"/>
        <w:contextualSpacing/>
      </w:pPr>
    </w:p>
    <w:p w:rsidR="004E1B4F" w:rsidRPr="00431DDD" w:rsidRDefault="004E1B4F" w:rsidP="004E1B4F">
      <w:pPr>
        <w:shd w:val="clear" w:color="auto" w:fill="D9D9D9" w:themeFill="background1" w:themeFillShade="D9"/>
        <w:contextualSpacing/>
        <w:rPr>
          <w:b/>
        </w:rPr>
      </w:pPr>
      <w:r>
        <w:rPr>
          <w:b/>
        </w:rPr>
        <w:t>Lokal forankring af EU-tiltag for at skabe en bedre fremtid for vores borgere</w:t>
      </w:r>
    </w:p>
    <w:p w:rsidR="004E1B4F" w:rsidRPr="00431DDD" w:rsidRDefault="004E1B4F" w:rsidP="004E1B4F">
      <w:pPr>
        <w:contextualSpacing/>
        <w:rPr>
          <w:b/>
        </w:rPr>
      </w:pPr>
    </w:p>
    <w:p w:rsidR="004E1B4F" w:rsidRPr="00431DDD" w:rsidRDefault="004E1B4F" w:rsidP="004E1B4F">
      <w:pPr>
        <w:pStyle w:val="ListParagraph"/>
        <w:numPr>
          <w:ilvl w:val="0"/>
          <w:numId w:val="3"/>
        </w:numPr>
        <w:ind w:left="567" w:hanging="567"/>
      </w:pPr>
      <w:r>
        <w:t xml:space="preserve">Regioner og byer går forrest, når det gælder realiseringen af målene for bæredygtig udvikling, der bør udvikle sig til EU's overordnede langsigtede økonomiske model som efterfølger til Europa 2020-strategien. Byer og regioner bør også få redskaberne til fuldt ud at kunne udfylde deres rolle i omstillingen til et kulstofneutralt og bæredygtigt Europa. </w:t>
      </w:r>
    </w:p>
    <w:p w:rsidR="004E1B4F" w:rsidRPr="00431DDD" w:rsidRDefault="004E1B4F" w:rsidP="004E1B4F"/>
    <w:p w:rsidR="004E1B4F" w:rsidRPr="00431DDD" w:rsidRDefault="004E1B4F" w:rsidP="004E1B4F">
      <w:pPr>
        <w:pStyle w:val="ListParagraph"/>
        <w:numPr>
          <w:ilvl w:val="0"/>
          <w:numId w:val="3"/>
        </w:numPr>
        <w:ind w:left="567" w:hanging="567"/>
      </w:pPr>
      <w:r>
        <w:t>Det indre marked bør suppleres af politikker, som sikrer, at alle kan udnytte det indre markeds friheder, og som garanterer rimelighed og social retfærdighed. Den sociale dimension af EU bør styrkes, således at sociale rettigheder ligestilles med økonomiske rettigheder. Vellykkede europæiske politikker for social integration, og især politikker for integration af migranter, kan ikke gennemføres, hvis ikke de lokale og regionale myndigheder får tilstrækkelige midler og direkte adgang til den nødvendige EU-finansiering.</w:t>
      </w:r>
    </w:p>
    <w:p w:rsidR="004E1B4F" w:rsidRPr="00431DDD" w:rsidRDefault="004E1B4F" w:rsidP="004E1B4F">
      <w:pPr>
        <w:spacing w:line="240" w:lineRule="auto"/>
        <w:ind w:left="567" w:hanging="567"/>
        <w:contextualSpacing/>
      </w:pPr>
    </w:p>
    <w:p w:rsidR="004E1B4F" w:rsidRPr="00431DDD" w:rsidRDefault="004E1B4F" w:rsidP="004E1B4F">
      <w:pPr>
        <w:pStyle w:val="ListParagraph"/>
        <w:numPr>
          <w:ilvl w:val="0"/>
          <w:numId w:val="3"/>
        </w:numPr>
        <w:ind w:left="567" w:hanging="567"/>
      </w:pPr>
      <w:r>
        <w:t>Håndteringen af de vedvarende økonomiske, sociale og territoriale uligheder er fortsat en stor udfordring for fremtidens EU. Samhørighedspolitikken har især gennem det europæiske territoriale samarbejde bevist sin merværdi for EU og bør efter 2020 bibeholdes for alle regioner på grundlag af principperne om en stedbaseret tilgang, europæiske partnerskaber, fælles forvaltning og flerniveaustyring.</w:t>
      </w:r>
    </w:p>
    <w:p w:rsidR="004E1B4F" w:rsidRPr="00431DDD" w:rsidRDefault="004E1B4F" w:rsidP="004E1B4F">
      <w:pPr>
        <w:spacing w:line="240" w:lineRule="auto"/>
      </w:pPr>
    </w:p>
    <w:p w:rsidR="004E1B4F" w:rsidRPr="00431DDD" w:rsidRDefault="004E1B4F" w:rsidP="004E1B4F">
      <w:pPr>
        <w:pStyle w:val="ListParagraph"/>
        <w:numPr>
          <w:ilvl w:val="0"/>
          <w:numId w:val="3"/>
        </w:numPr>
        <w:ind w:left="567" w:hanging="567"/>
      </w:pPr>
      <w:r>
        <w:t>De offentlige investeringer i EU ligger fortsat på et for lavt niveau til at kunne levere de rette offentlige infrastrukturer og tjenester. Det er derfor afgørende at afhjælpe det offentlige investeringsunderskud. EU bør give de lokale og regionale myndigheder det nødvendige manøvrerum til at fremme investeringer.</w:t>
      </w:r>
    </w:p>
    <w:p w:rsidR="004E1B4F" w:rsidRPr="00431DDD" w:rsidRDefault="004E1B4F" w:rsidP="004E1B4F">
      <w:pPr>
        <w:spacing w:line="240" w:lineRule="auto"/>
      </w:pPr>
    </w:p>
    <w:p w:rsidR="004E1B4F" w:rsidRPr="00431DDD" w:rsidRDefault="004E1B4F" w:rsidP="004E1B4F">
      <w:pPr>
        <w:pStyle w:val="ListParagraph"/>
        <w:numPr>
          <w:ilvl w:val="0"/>
          <w:numId w:val="3"/>
        </w:numPr>
        <w:ind w:left="567" w:hanging="567"/>
      </w:pPr>
      <w:r>
        <w:t>EU's ledere skal sikre Den Europæiske Union et ambitiøst budget, der kan tackle de kommende udfordringer og gør det muligt at udforme varige og bæredygtige EU-politikker. Den politiske, sociale og miljømæssige situation er af en så presserende karakter, at vi opfordrer til, at man hurtigt når til enighed om den næste flerårige finansielle ramme i overensstemmelse med de hovedlinjer, som Europa-Parlamentet og Det Europæiske Regionsudvalg allerede har udstukket.</w:t>
      </w:r>
    </w:p>
    <w:p w:rsidR="00867B31" w:rsidRPr="004E1B4F" w:rsidRDefault="004E1B4F" w:rsidP="00F8323F">
      <w:pPr>
        <w:jc w:val="center"/>
      </w:pPr>
      <w:r>
        <w:t>_____________</w:t>
      </w:r>
    </w:p>
    <w:sectPr w:rsidR="00867B31" w:rsidRPr="004E1B4F" w:rsidSect="009170A9">
      <w:headerReference w:type="default" r:id="rId11"/>
      <w:headerReference w:type="first" r:id="rId12"/>
      <w:pgSz w:w="11907" w:h="16839"/>
      <w:pgMar w:top="2127" w:right="1417" w:bottom="1560" w:left="141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CCD" w:rsidRDefault="00D60CCD" w:rsidP="00867B31">
      <w:pPr>
        <w:spacing w:line="240" w:lineRule="auto"/>
      </w:pPr>
      <w:r>
        <w:separator/>
      </w:r>
    </w:p>
  </w:endnote>
  <w:endnote w:type="continuationSeparator" w:id="0">
    <w:p w:rsidR="00D60CCD" w:rsidRDefault="00D60CCD" w:rsidP="00867B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CCD" w:rsidRDefault="00D60CCD" w:rsidP="00867B31">
      <w:pPr>
        <w:spacing w:line="240" w:lineRule="auto"/>
      </w:pPr>
      <w:r>
        <w:separator/>
      </w:r>
    </w:p>
  </w:footnote>
  <w:footnote w:type="continuationSeparator" w:id="0">
    <w:p w:rsidR="00D60CCD" w:rsidRDefault="00D60CCD" w:rsidP="00867B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31" w:rsidRDefault="00867B31" w:rsidP="00B36917">
    <w:pPr>
      <w:pStyle w:val="Header"/>
      <w:tabs>
        <w:tab w:val="left" w:pos="2579"/>
      </w:tabs>
    </w:pPr>
    <w:r>
      <w:rPr>
        <w:noProof/>
      </w:rPr>
      <w:drawing>
        <wp:anchor distT="0" distB="0" distL="114300" distR="114300" simplePos="0" relativeHeight="251660288" behindDoc="1" locked="0" layoutInCell="1" allowOverlap="1">
          <wp:simplePos x="0" y="0"/>
          <wp:positionH relativeFrom="column">
            <wp:posOffset>-875500</wp:posOffset>
          </wp:positionH>
          <wp:positionV relativeFrom="paragraph">
            <wp:posOffset>-441905</wp:posOffset>
          </wp:positionV>
          <wp:extent cx="7524827" cy="10646797"/>
          <wp:effectExtent l="0" t="0" r="0" b="2540"/>
          <wp:wrapNone/>
          <wp:docPr id="2" name="Picture 2" descr="C:\Users\tlaw\Desktop\3800-Summit-declaration-template-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law\Desktop\3800-Summit-declaration-template-p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827" cy="10646797"/>
                  </a:xfrm>
                  <a:prstGeom prst="rect">
                    <a:avLst/>
                  </a:prstGeom>
                  <a:noFill/>
                  <a:ln>
                    <a:noFill/>
                  </a:ln>
                </pic:spPr>
              </pic:pic>
            </a:graphicData>
          </a:graphic>
        </wp:anchor>
      </w:drawing>
    </w:r>
    <w:r w:rsidR="00B36917">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31" w:rsidRDefault="00B07922">
    <w:pPr>
      <w:pStyle w:val="Header"/>
    </w:pPr>
    <w:r>
      <w:rPr>
        <w:noProof/>
      </w:rPr>
      <w:drawing>
        <wp:anchor distT="0" distB="0" distL="114300" distR="114300" simplePos="0" relativeHeight="251661312" behindDoc="1" locked="0" layoutInCell="1" allowOverlap="1">
          <wp:simplePos x="0" y="0"/>
          <wp:positionH relativeFrom="column">
            <wp:posOffset>-875914</wp:posOffset>
          </wp:positionH>
          <wp:positionV relativeFrom="paragraph">
            <wp:posOffset>-633564</wp:posOffset>
          </wp:positionV>
          <wp:extent cx="7500351" cy="10622943"/>
          <wp:effectExtent l="0" t="0" r="5715" b="6985"/>
          <wp:wrapNone/>
          <wp:docPr id="7" name="Picture 7" descr="M:\Jobs\_REQUESTS FOR PUBLICATION\3701-3800\cdr_3800 Summit 2019\Declaration Templates\3800-Summit-declaration-template-EN-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Jobs\_REQUESTS FOR PUBLICATION\3701-3800\cdr_3800 Summit 2019\Declaration Templates\3800-Summit-declaration-template-EN-page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0351" cy="1062294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48F817FB"/>
    <w:multiLevelType w:val="hybridMultilevel"/>
    <w:tmpl w:val="4C4A05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B31"/>
    <w:rsid w:val="00084484"/>
    <w:rsid w:val="001D5769"/>
    <w:rsid w:val="003D086F"/>
    <w:rsid w:val="004E1B4F"/>
    <w:rsid w:val="005E4413"/>
    <w:rsid w:val="00603CB4"/>
    <w:rsid w:val="0065078E"/>
    <w:rsid w:val="006E06CF"/>
    <w:rsid w:val="00761650"/>
    <w:rsid w:val="007E76E2"/>
    <w:rsid w:val="00867385"/>
    <w:rsid w:val="00867B31"/>
    <w:rsid w:val="009170A9"/>
    <w:rsid w:val="009E03A7"/>
    <w:rsid w:val="00A2617A"/>
    <w:rsid w:val="00B07922"/>
    <w:rsid w:val="00B36917"/>
    <w:rsid w:val="00CB06E3"/>
    <w:rsid w:val="00D60CCD"/>
    <w:rsid w:val="00DC1B74"/>
    <w:rsid w:val="00F621F7"/>
    <w:rsid w:val="00F8323F"/>
    <w:rsid w:val="00FC18B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E142FD-BF56-40FD-881E-4C6904ED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8B9"/>
    <w:pPr>
      <w:spacing w:after="160" w:line="259" w:lineRule="auto"/>
    </w:pPr>
    <w:rPr>
      <w:lang w:val="en-US"/>
    </w:rPr>
  </w:style>
  <w:style w:type="paragraph" w:styleId="Heading1">
    <w:name w:val="heading 1"/>
    <w:basedOn w:val="Normal"/>
    <w:next w:val="Normal"/>
    <w:link w:val="Heading1Char"/>
    <w:qFormat/>
    <w:rsid w:val="00867B31"/>
    <w:pPr>
      <w:numPr>
        <w:numId w:val="1"/>
      </w:numPr>
      <w:ind w:left="567" w:hanging="567"/>
      <w:outlineLvl w:val="0"/>
    </w:pPr>
    <w:rPr>
      <w:kern w:val="28"/>
    </w:rPr>
  </w:style>
  <w:style w:type="paragraph" w:styleId="Heading2">
    <w:name w:val="heading 2"/>
    <w:basedOn w:val="Normal"/>
    <w:next w:val="Normal"/>
    <w:link w:val="Heading2Char"/>
    <w:qFormat/>
    <w:rsid w:val="00867B31"/>
    <w:pPr>
      <w:numPr>
        <w:ilvl w:val="1"/>
        <w:numId w:val="1"/>
      </w:numPr>
      <w:ind w:left="567" w:hanging="567"/>
      <w:outlineLvl w:val="1"/>
    </w:pPr>
  </w:style>
  <w:style w:type="paragraph" w:styleId="Heading3">
    <w:name w:val="heading 3"/>
    <w:basedOn w:val="Normal"/>
    <w:next w:val="Normal"/>
    <w:link w:val="Heading3Char"/>
    <w:qFormat/>
    <w:rsid w:val="00867B31"/>
    <w:pPr>
      <w:numPr>
        <w:ilvl w:val="2"/>
        <w:numId w:val="1"/>
      </w:numPr>
      <w:ind w:left="567" w:hanging="567"/>
      <w:outlineLvl w:val="2"/>
    </w:pPr>
  </w:style>
  <w:style w:type="paragraph" w:styleId="Heading4">
    <w:name w:val="heading 4"/>
    <w:basedOn w:val="Normal"/>
    <w:next w:val="Normal"/>
    <w:link w:val="Heading4Char"/>
    <w:qFormat/>
    <w:rsid w:val="00867B31"/>
    <w:pPr>
      <w:numPr>
        <w:ilvl w:val="3"/>
        <w:numId w:val="1"/>
      </w:numPr>
      <w:ind w:left="567" w:hanging="567"/>
      <w:outlineLvl w:val="3"/>
    </w:pPr>
  </w:style>
  <w:style w:type="paragraph" w:styleId="Heading5">
    <w:name w:val="heading 5"/>
    <w:basedOn w:val="Normal"/>
    <w:next w:val="Normal"/>
    <w:link w:val="Heading5Char"/>
    <w:qFormat/>
    <w:rsid w:val="00867B31"/>
    <w:pPr>
      <w:numPr>
        <w:ilvl w:val="4"/>
        <w:numId w:val="1"/>
      </w:numPr>
      <w:ind w:left="567" w:hanging="567"/>
      <w:outlineLvl w:val="4"/>
    </w:pPr>
  </w:style>
  <w:style w:type="paragraph" w:styleId="Heading6">
    <w:name w:val="heading 6"/>
    <w:basedOn w:val="Normal"/>
    <w:next w:val="Normal"/>
    <w:link w:val="Heading6Char"/>
    <w:qFormat/>
    <w:rsid w:val="00867B31"/>
    <w:pPr>
      <w:numPr>
        <w:ilvl w:val="5"/>
        <w:numId w:val="1"/>
      </w:numPr>
      <w:ind w:left="567" w:hanging="567"/>
      <w:outlineLvl w:val="5"/>
    </w:pPr>
  </w:style>
  <w:style w:type="paragraph" w:styleId="Heading7">
    <w:name w:val="heading 7"/>
    <w:basedOn w:val="Normal"/>
    <w:next w:val="Normal"/>
    <w:link w:val="Heading7Char"/>
    <w:qFormat/>
    <w:rsid w:val="00867B31"/>
    <w:pPr>
      <w:numPr>
        <w:ilvl w:val="6"/>
        <w:numId w:val="1"/>
      </w:numPr>
      <w:ind w:left="567" w:hanging="567"/>
      <w:outlineLvl w:val="6"/>
    </w:pPr>
  </w:style>
  <w:style w:type="paragraph" w:styleId="Heading8">
    <w:name w:val="heading 8"/>
    <w:basedOn w:val="Normal"/>
    <w:next w:val="Normal"/>
    <w:link w:val="Heading8Char"/>
    <w:qFormat/>
    <w:rsid w:val="00867B31"/>
    <w:pPr>
      <w:numPr>
        <w:ilvl w:val="7"/>
        <w:numId w:val="1"/>
      </w:numPr>
      <w:ind w:left="567" w:hanging="567"/>
      <w:outlineLvl w:val="7"/>
    </w:pPr>
  </w:style>
  <w:style w:type="paragraph" w:styleId="Heading9">
    <w:name w:val="heading 9"/>
    <w:basedOn w:val="Normal"/>
    <w:next w:val="Normal"/>
    <w:link w:val="Heading9Char"/>
    <w:qFormat/>
    <w:rsid w:val="00867B31"/>
    <w:pPr>
      <w:numPr>
        <w:ilvl w:val="8"/>
        <w:numId w:val="1"/>
      </w:numPr>
      <w:ind w:left="567" w:hanging="567"/>
      <w:outlineLvl w:val="8"/>
    </w:pPr>
  </w:style>
  <w:style w:type="character" w:default="1" w:styleId="DefaultParagraphFont">
    <w:name w:val="Default Paragraph Font"/>
    <w:uiPriority w:val="1"/>
    <w:semiHidden/>
    <w:unhideWhenUsed/>
    <w:rsid w:val="00FC18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18B9"/>
  </w:style>
  <w:style w:type="character" w:customStyle="1" w:styleId="Heading1Char">
    <w:name w:val="Heading 1 Char"/>
    <w:basedOn w:val="DefaultParagraphFont"/>
    <w:link w:val="Heading1"/>
    <w:rsid w:val="00867B31"/>
    <w:rPr>
      <w:rFonts w:ascii="Times New Roman" w:eastAsia="Times New Roman" w:hAnsi="Times New Roman" w:cs="Times New Roman"/>
      <w:kern w:val="28"/>
      <w:lang w:val="en-US"/>
    </w:rPr>
  </w:style>
  <w:style w:type="character" w:customStyle="1" w:styleId="Heading2Char">
    <w:name w:val="Heading 2 Char"/>
    <w:basedOn w:val="DefaultParagraphFont"/>
    <w:link w:val="Heading2"/>
    <w:rsid w:val="00867B31"/>
    <w:rPr>
      <w:rFonts w:ascii="Times New Roman" w:eastAsia="Times New Roman" w:hAnsi="Times New Roman" w:cs="Times New Roman"/>
      <w:lang w:val="en-US"/>
    </w:rPr>
  </w:style>
  <w:style w:type="character" w:customStyle="1" w:styleId="Heading3Char">
    <w:name w:val="Heading 3 Char"/>
    <w:basedOn w:val="DefaultParagraphFont"/>
    <w:link w:val="Heading3"/>
    <w:rsid w:val="00867B31"/>
    <w:rPr>
      <w:rFonts w:ascii="Times New Roman" w:eastAsia="Times New Roman" w:hAnsi="Times New Roman" w:cs="Times New Roman"/>
      <w:lang w:val="en-US"/>
    </w:rPr>
  </w:style>
  <w:style w:type="character" w:customStyle="1" w:styleId="Heading4Char">
    <w:name w:val="Heading 4 Char"/>
    <w:basedOn w:val="DefaultParagraphFont"/>
    <w:link w:val="Heading4"/>
    <w:rsid w:val="00867B31"/>
    <w:rPr>
      <w:rFonts w:ascii="Times New Roman" w:eastAsia="Times New Roman" w:hAnsi="Times New Roman" w:cs="Times New Roman"/>
      <w:lang w:val="en-US"/>
    </w:rPr>
  </w:style>
  <w:style w:type="character" w:customStyle="1" w:styleId="Heading5Char">
    <w:name w:val="Heading 5 Char"/>
    <w:basedOn w:val="DefaultParagraphFont"/>
    <w:link w:val="Heading5"/>
    <w:rsid w:val="00867B31"/>
    <w:rPr>
      <w:rFonts w:ascii="Times New Roman" w:eastAsia="Times New Roman" w:hAnsi="Times New Roman" w:cs="Times New Roman"/>
      <w:lang w:val="en-US"/>
    </w:rPr>
  </w:style>
  <w:style w:type="character" w:customStyle="1" w:styleId="Heading6Char">
    <w:name w:val="Heading 6 Char"/>
    <w:basedOn w:val="DefaultParagraphFont"/>
    <w:link w:val="Heading6"/>
    <w:rsid w:val="00867B31"/>
    <w:rPr>
      <w:rFonts w:ascii="Times New Roman" w:eastAsia="Times New Roman" w:hAnsi="Times New Roman" w:cs="Times New Roman"/>
      <w:lang w:val="en-US"/>
    </w:rPr>
  </w:style>
  <w:style w:type="character" w:customStyle="1" w:styleId="Heading7Char">
    <w:name w:val="Heading 7 Char"/>
    <w:basedOn w:val="DefaultParagraphFont"/>
    <w:link w:val="Heading7"/>
    <w:rsid w:val="00867B31"/>
    <w:rPr>
      <w:rFonts w:ascii="Times New Roman" w:eastAsia="Times New Roman" w:hAnsi="Times New Roman" w:cs="Times New Roman"/>
      <w:lang w:val="en-US"/>
    </w:rPr>
  </w:style>
  <w:style w:type="character" w:customStyle="1" w:styleId="Heading8Char">
    <w:name w:val="Heading 8 Char"/>
    <w:basedOn w:val="DefaultParagraphFont"/>
    <w:link w:val="Heading8"/>
    <w:rsid w:val="00867B31"/>
    <w:rPr>
      <w:rFonts w:ascii="Times New Roman" w:eastAsia="Times New Roman" w:hAnsi="Times New Roman" w:cs="Times New Roman"/>
      <w:lang w:val="en-US"/>
    </w:rPr>
  </w:style>
  <w:style w:type="character" w:customStyle="1" w:styleId="Heading9Char">
    <w:name w:val="Heading 9 Char"/>
    <w:basedOn w:val="DefaultParagraphFont"/>
    <w:link w:val="Heading9"/>
    <w:rsid w:val="00867B31"/>
    <w:rPr>
      <w:rFonts w:ascii="Times New Roman" w:eastAsia="Times New Roman" w:hAnsi="Times New Roman" w:cs="Times New Roman"/>
      <w:lang w:val="en-US"/>
    </w:rPr>
  </w:style>
  <w:style w:type="paragraph" w:styleId="Footer">
    <w:name w:val="footer"/>
    <w:basedOn w:val="Normal"/>
    <w:link w:val="FooterChar"/>
    <w:qFormat/>
    <w:rsid w:val="00867B31"/>
  </w:style>
  <w:style w:type="character" w:customStyle="1" w:styleId="FooterChar">
    <w:name w:val="Footer Char"/>
    <w:basedOn w:val="DefaultParagraphFont"/>
    <w:link w:val="Footer"/>
    <w:rsid w:val="00867B31"/>
    <w:rPr>
      <w:rFonts w:ascii="Times New Roman" w:eastAsia="Times New Roman" w:hAnsi="Times New Roman" w:cs="Times New Roman"/>
      <w:lang w:val="en-US"/>
    </w:rPr>
  </w:style>
  <w:style w:type="paragraph" w:styleId="FootnoteText">
    <w:name w:val="footnote text"/>
    <w:basedOn w:val="Normal"/>
    <w:link w:val="FootnoteTextChar"/>
    <w:qFormat/>
    <w:rsid w:val="00867B31"/>
    <w:pPr>
      <w:keepLines/>
      <w:spacing w:after="60" w:line="240" w:lineRule="auto"/>
      <w:ind w:left="567" w:hanging="567"/>
    </w:pPr>
    <w:rPr>
      <w:sz w:val="16"/>
    </w:rPr>
  </w:style>
  <w:style w:type="character" w:customStyle="1" w:styleId="FootnoteTextChar">
    <w:name w:val="Footnote Text Char"/>
    <w:basedOn w:val="DefaultParagraphFont"/>
    <w:link w:val="FootnoteText"/>
    <w:rsid w:val="00867B31"/>
    <w:rPr>
      <w:rFonts w:ascii="Times New Roman" w:eastAsia="Times New Roman" w:hAnsi="Times New Roman" w:cs="Times New Roman"/>
      <w:sz w:val="16"/>
      <w:lang w:val="en-US"/>
    </w:rPr>
  </w:style>
  <w:style w:type="paragraph" w:styleId="Header">
    <w:name w:val="header"/>
    <w:basedOn w:val="Normal"/>
    <w:link w:val="HeaderChar"/>
    <w:qFormat/>
    <w:rsid w:val="00867B31"/>
  </w:style>
  <w:style w:type="character" w:customStyle="1" w:styleId="HeaderChar">
    <w:name w:val="Header Char"/>
    <w:basedOn w:val="DefaultParagraphFont"/>
    <w:link w:val="Header"/>
    <w:rsid w:val="00867B31"/>
    <w:rPr>
      <w:rFonts w:ascii="Times New Roman" w:eastAsia="Times New Roman" w:hAnsi="Times New Roman" w:cs="Times New Roman"/>
      <w:lang w:val="en-US"/>
    </w:rPr>
  </w:style>
  <w:style w:type="paragraph" w:customStyle="1" w:styleId="quotes">
    <w:name w:val="quotes"/>
    <w:basedOn w:val="Normal"/>
    <w:next w:val="Normal"/>
    <w:rsid w:val="00867B31"/>
    <w:pPr>
      <w:ind w:left="720"/>
    </w:pPr>
    <w:rPr>
      <w:i/>
    </w:rPr>
  </w:style>
  <w:style w:type="character" w:styleId="FootnoteReference">
    <w:name w:val="footnote reference"/>
    <w:basedOn w:val="DefaultParagraphFont"/>
    <w:unhideWhenUsed/>
    <w:qFormat/>
    <w:rsid w:val="00867B31"/>
    <w:rPr>
      <w:sz w:val="24"/>
      <w:vertAlign w:val="superscript"/>
    </w:rPr>
  </w:style>
  <w:style w:type="paragraph" w:styleId="ListParagraph">
    <w:name w:val="List Paragraph"/>
    <w:basedOn w:val="Normal"/>
    <w:uiPriority w:val="34"/>
    <w:qFormat/>
    <w:rsid w:val="00867B31"/>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58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857bdf61-ef81-4463-9c7c-83f2607ad7f5">NVCDSECZW5MX-3-3840</_dlc_DocId>
    <_dlc_DocIdUrl xmlns="857bdf61-ef81-4463-9c7c-83f2607ad7f5">
      <Url>http://dm/cor/2019/_layouts/15/DocIdRedir.aspx?ID=NVCDSECZW5MX-3-3840</Url>
      <Description>NVCDSECZW5MX-3-3840</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DECL</TermName>
          <TermId xmlns="http://schemas.microsoft.com/office/infopath/2007/PartnerControls">3e2492ed-4ef9-4eb0-bb74-05f60f74f0a3</TermId>
        </TermInfo>
      </Terms>
    </DocumentType_0>
    <Procedure xmlns="857bdf61-ef81-4463-9c7c-83f2607ad7f5"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857bdf61-ef81-4463-9c7c-83f2607ad7f5">2019-03-14T12:00:00+00:00</ProductionDate>
    <DossierName_0 xmlns="http://schemas.microsoft.com/sharepoint/v3/fields">
      <Terms xmlns="http://schemas.microsoft.com/office/infopath/2007/PartnerControls"/>
    </DossierName_0>
    <DocumentNumber xmlns="2f9bd059-0071-4699-9d5e-0c06925c200a">227</DocumentNumber>
    <FicheYear xmlns="857bdf61-ef81-4463-9c7c-83f2607ad7f5">2019</FicheYear>
    <DocumentVersion xmlns="857bdf61-ef81-4463-9c7c-83f2607ad7f5">1</DocumentVersion>
    <DossierNumber xmlns="857bdf61-ef81-4463-9c7c-83f2607ad7f5"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DocumentLanguage_0 xmlns="http://schemas.microsoft.com/sharepoint/v3/fields">
      <Terms xmlns="http://schemas.microsoft.com/office/infopath/2007/PartnerControls">
        <TermInfo xmlns="http://schemas.microsoft.com/office/infopath/2007/PartnerControls">
          <TermName xmlns="http://schemas.microsoft.com/office/infopath/2007/PartnerControls">DA</TermName>
          <TermId xmlns="http://schemas.microsoft.com/office/infopath/2007/PartnerControls">5d49c027-8956-412b-aa16-e85a0f96ad0e</TermId>
        </TermInfo>
      </Terms>
    </DocumentLanguage_0>
    <TaxCatchAll xmlns="857bdf61-ef81-4463-9c7c-83f2607ad7f5">
      <Value>73</Value>
      <Value>62</Value>
      <Value>40</Value>
      <Value>38</Value>
      <Value>37</Value>
      <Value>36</Value>
      <Value>35</Value>
      <Value>33</Value>
      <Value>32</Value>
      <Value>30</Value>
      <Value>29</Value>
      <Value>28</Value>
      <Value>27</Value>
      <Value>25</Value>
      <Value>24</Value>
      <Value>23</Value>
      <Value>22</Value>
      <Value>21</Value>
      <Value>20</Value>
      <Value>18</Value>
      <Value>17</Value>
      <Value>13</Value>
      <Value>10</Value>
      <Value>9</Value>
      <Value>7</Value>
      <Value>6</Value>
      <Value>4</Value>
      <Value>2</Value>
      <Value>1</Value>
    </TaxCatchAll>
    <MeetingDate xmlns="857bdf61-ef81-4463-9c7c-83f2607ad7f5">2019-03-14T12:00:00+00:00</MeetingDate>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57bdf61-ef81-4463-9c7c-83f2607ad7f5" xsi:nil="true"/>
    <DocumentYear xmlns="857bdf61-ef81-4463-9c7c-83f2607ad7f5">2019</DocumentYear>
    <FicheNumber xmlns="857bdf61-ef81-4463-9c7c-83f2607ad7f5">2799</FicheNumber>
    <DocumentPart xmlns="857bdf61-ef81-4463-9c7c-83f2607ad7f5">0</DocumentPart>
    <AdoptionDate xmlns="857bdf61-ef81-4463-9c7c-83f2607ad7f5" xsi:nil="true"/>
    <MeetingName_0 xmlns="http://schemas.microsoft.com/sharepoint/v3/fields">
      <Terms xmlns="http://schemas.microsoft.com/office/infopath/2007/PartnerControls">
        <TermInfo xmlns="http://schemas.microsoft.com/office/infopath/2007/PartnerControls">
          <TermName xmlns="http://schemas.microsoft.com/office/infopath/2007/PartnerControls">BUR CDR</TermName>
          <TermId xmlns="http://schemas.microsoft.com/office/infopath/2007/PartnerControls">c746c8a5-35bb-487b-9ea7-3f1412c8eddb</TermId>
        </TermInfo>
      </Terms>
    </MeetingName_0>
    <RequestingService xmlns="857bdf61-ef81-4463-9c7c-83f2607ad7f5">Organes statutaires et réunions</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s>
    </AvailableTranslations_0>
    <MeetingNumber xmlns="2f9bd059-0071-4699-9d5e-0c06925c200a" xsi:nil="true"/>
    <OriginalSender xmlns="857bdf61-ef81-4463-9c7c-83f2607ad7f5">
      <UserInfo>
        <DisplayName/>
        <AccountId xsi:nil="true"/>
        <AccountType/>
      </UserInfo>
    </OriginalSender>
  </documentManagement>
</p:properti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A3DE04C379BF8E498B12522FB01A4B50" ma:contentTypeVersion="8" ma:contentTypeDescription="Defines the documents for Document Manager V2" ma:contentTypeScope="" ma:versionID="7a9e74cb450536487c445279de420ea3">
  <xsd:schema xmlns:xsd="http://www.w3.org/2001/XMLSchema" xmlns:xs="http://www.w3.org/2001/XMLSchema" xmlns:p="http://schemas.microsoft.com/office/2006/metadata/properties" xmlns:ns2="857bdf61-ef81-4463-9c7c-83f2607ad7f5" xmlns:ns3="http://schemas.microsoft.com/sharepoint/v3/fields" xmlns:ns4="2f9bd059-0071-4699-9d5e-0c06925c200a" targetNamespace="http://schemas.microsoft.com/office/2006/metadata/properties" ma:root="true" ma:fieldsID="3e6bcd988828f94b67b7c8a130cf5e03" ns2:_="" ns3:_="" ns4:_="">
    <xsd:import namespace="857bdf61-ef81-4463-9c7c-83f2607ad7f5"/>
    <xsd:import namespace="http://schemas.microsoft.com/sharepoint/v3/fields"/>
    <xsd:import namespace="2f9bd059-0071-4699-9d5e-0c06925c200a"/>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element ref="ns2:Origina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bdf61-ef81-4463-9c7c-83f2607ad7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57b40324-ba81-467e-b318-8db2e7caf763}" ma:internalName="TaxCatchAll" ma:showField="CatchAllData"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57b40324-ba81-467e-b318-8db2e7caf763}" ma:internalName="TaxCatchAllLabel" ma:readOnly="true" ma:showField="CatchAllDataLabel"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element name="OriginalSender" ma:index="47"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9bd059-0071-4699-9d5e-0c06925c200a"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6E91EC-B403-4BA0-B9EA-11F1CAE0D3B7}"/>
</file>

<file path=customXml/itemProps2.xml><?xml version="1.0" encoding="utf-8"?>
<ds:datastoreItem xmlns:ds="http://schemas.openxmlformats.org/officeDocument/2006/customXml" ds:itemID="{C3A9D6ED-E29D-4DF3-84A1-7140F49F9CA7}"/>
</file>

<file path=customXml/itemProps3.xml><?xml version="1.0" encoding="utf-8"?>
<ds:datastoreItem xmlns:ds="http://schemas.openxmlformats.org/officeDocument/2006/customXml" ds:itemID="{A706BF58-8592-4F71-B763-3160839338A6}"/>
</file>

<file path=customXml/itemProps4.xml><?xml version="1.0" encoding="utf-8"?>
<ds:datastoreItem xmlns:ds="http://schemas.openxmlformats.org/officeDocument/2006/customXml" ds:itemID="{85FCE64E-2692-4808-A09D-F34CA42DDA5F}"/>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CESE-CdR</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Pt_04_Bukaresterklæringen</dc:title>
  <dc:creator>Timothy Lawrence</dc:creator>
  <cp:keywords>COR-2019-00227-00-01-DECL-TRA-EN</cp:keywords>
  <dc:description>Rapporteur:  - Original language: EN - Date of document: 14/03/2019 - Date of meeting: 14/03/2019 - External documents:  - Administrator: MME Szabó Julianna</dc:description>
  <cp:lastModifiedBy>TDriveSVCUserAccpt</cp:lastModifiedBy>
  <cp:revision>4</cp:revision>
  <cp:lastPrinted>2019-03-11T11:24:00Z</cp:lastPrinted>
  <dcterms:created xsi:type="dcterms:W3CDTF">2019-03-14T18:25:00Z</dcterms:created>
  <dcterms:modified xsi:type="dcterms:W3CDTF">2022-02-26T08:11:00Z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0x010100EA97B91038054C99906057A708A1480A00A3DE04C379BF8E498B12522FB01A4B50</vt:lpwstr>
  </property>
  <property fmtid="{D5CDD505-2E9C-101B-9397-08002B2CF9AE}" pid="3" name="_dlc_DocIdItemGuid">
    <vt:lpwstr>ae21f39d-1d52-4495-b98d-f02953626dc1</vt:lpwstr>
  </property>
  <property fmtid="{D5CDD505-2E9C-101B-9397-08002B2CF9AE}" pid="4" name="AvailableTranslations">
    <vt:lpwstr>35;#BG|1a1b3951-7821-4e6a-85f5-5673fc08bd2c;#28;#CS|72f9705b-0217-4fd3-bea2-cbc7ed80e26e;#25;#DA|5d49c027-8956-412b-aa16-e85a0f96ad0e;#29;#DE|f6b31e5a-26fa-4935-b661-318e46daf27e;#20;#EL|6d4f4d51-af9b-4650-94b4-4276bee85c91;#9;#EN|f2175f21-25d7-44a3-96da-d6a61b075e1b;#13;#ES|e7a6b05b-ae16-40c8-add9-68b64b03aeba;#38;#ET|ff6c3f4c-b02c-4c3c-ab07-2c37995a7a0a;#23;#FI|87606a43-d45f-42d6-b8c9-e1a3457db5b7;#7;#FR|d2afafd3-4c81-4f60-8f52-ee33f2f54ff3;#30;#HR|2f555653-ed1a-4fe6-8362-9082d95989e5;#40;#HU|6b229040-c589-4408-b4c1-4285663d20a8;#4;#IT|0774613c-01ed-4e5d-a25d-11d2388de825;#32;#LT|a7ff5ce7-6123-4f68-865a-a57c31810414;#24;#LV|46f7e311-5d9f-4663-b433-18aeccb7ace7;#37;#MT|7df99101-6854-4a26-b53a-b88c0da02c26;#22;#NL|55c6556c-b4f4-441d-9acf-c498d4f838bd;#18;#PL|1e03da61-4678-4e07-b136-b5024ca9197b;#36;#PT|50ccc04a-eadd-42ae-a0cb-acaf45f812ba;#21;#RO|feb747a2-64cd-4299-af12-4833ddc30497;#27;#SL|98a412ae-eb01-49e9-ae3d-585a81724cfc;#33;#SK|46d9fce0-ef79-4f71-b89b-cd6aa82426b8;#17;#SV|c2ed69e7-a339-43d7-8f22-d93680a92aa0</vt:lpwstr>
  </property>
  <property fmtid="{D5CDD505-2E9C-101B-9397-08002B2CF9AE}" pid="5" name="DocumentType_0">
    <vt:lpwstr>DECL|3e2492ed-4ef9-4eb0-bb74-05f60f74f0a3</vt:lpwstr>
  </property>
  <property fmtid="{D5CDD505-2E9C-101B-9397-08002B2CF9AE}" pid="6" name="ProductionDate">
    <vt:filetime>2019-03-13T23:00:00Z</vt:filetime>
  </property>
  <property fmtid="{D5CDD505-2E9C-101B-9397-08002B2CF9AE}" pid="7" name="DocumentSource_0">
    <vt:lpwstr>CoR|cb2d75ef-4a7d-4393-b797-49ed6298a5ea</vt:lpwstr>
  </property>
  <property fmtid="{D5CDD505-2E9C-101B-9397-08002B2CF9AE}" pid="8" name="FicheYear">
    <vt:i4>2019</vt:i4>
  </property>
  <property fmtid="{D5CDD505-2E9C-101B-9397-08002B2CF9AE}" pid="9" name="DocumentNumber">
    <vt:i4>227</vt:i4>
  </property>
  <property fmtid="{D5CDD505-2E9C-101B-9397-08002B2CF9AE}" pid="10" name="DocumentVersion">
    <vt:i4>1</vt:i4>
  </property>
  <property fmtid="{D5CDD505-2E9C-101B-9397-08002B2CF9AE}" pid="11" name="DocumentStatus">
    <vt:lpwstr>2;#TRA|150d2a88-1431-44e6-a8ca-0bb753ab8672</vt:lpwstr>
  </property>
  <property fmtid="{D5CDD505-2E9C-101B-9397-08002B2CF9AE}" pid="12" name="DossierName">
    <vt:lpwstr/>
  </property>
  <property fmtid="{D5CDD505-2E9C-101B-9397-08002B2CF9AE}" pid="13" name="Confidentiality_0">
    <vt:lpwstr>Unrestricted|826e22d7-d029-4ec0-a450-0c28ff673572</vt:lpwstr>
  </property>
  <property fmtid="{D5CDD505-2E9C-101B-9397-08002B2CF9AE}" pid="14" name="Confidentiality">
    <vt:lpwstr>10;#Unrestricted|826e22d7-d029-4ec0-a450-0c28ff673572</vt:lpwstr>
  </property>
  <property fmtid="{D5CDD505-2E9C-101B-9397-08002B2CF9AE}" pid="15" name="OriginalLanguage">
    <vt:lpwstr>9;#EN|f2175f21-25d7-44a3-96da-d6a61b075e1b</vt:lpwstr>
  </property>
  <property fmtid="{D5CDD505-2E9C-101B-9397-08002B2CF9AE}" pid="16" name="TaxCatchAll">
    <vt:lpwstr>73;#BUR CDR|c746c8a5-35bb-487b-9ea7-3f1412c8eddb;#62;#DECL|3e2492ed-4ef9-4eb0-bb74-05f60f74f0a3;#40;#HU|6b229040-c589-4408-b4c1-4285663d20a8;#38;#ET|ff6c3f4c-b02c-4c3c-ab07-2c37995a7a0a;#37;#MT|7df99101-6854-4a26-b53a-b88c0da02c26;#36;#PT|50ccc04a-eadd-42</vt:lpwstr>
  </property>
  <property fmtid="{D5CDD505-2E9C-101B-9397-08002B2CF9AE}" pid="17" name="MeetingDate">
    <vt:filetime>2019-03-14T12:00:00Z</vt:filetime>
  </property>
  <property fmtid="{D5CDD505-2E9C-101B-9397-08002B2CF9AE}" pid="18" name="MeetingName">
    <vt:lpwstr>73;#BUR CDR|c746c8a5-35bb-487b-9ea7-3f1412c8eddb</vt:lpwstr>
  </property>
  <property fmtid="{D5CDD505-2E9C-101B-9397-08002B2CF9AE}" pid="19" name="DocumentLanguage_0">
    <vt:lpwstr>DA|5d49c027-8956-412b-aa16-e85a0f96ad0e</vt:lpwstr>
  </property>
  <property fmtid="{D5CDD505-2E9C-101B-9397-08002B2CF9AE}" pid="20" name="VersionStatus">
    <vt:lpwstr>6;#Final|ea5e6674-7b27-4bac-b091-73adbb394efe</vt:lpwstr>
  </property>
  <property fmtid="{D5CDD505-2E9C-101B-9397-08002B2CF9AE}" pid="21" name="VersionStatus_0">
    <vt:lpwstr>Final|ea5e6674-7b27-4bac-b091-73adbb394efe</vt:lpwstr>
  </property>
  <property fmtid="{D5CDD505-2E9C-101B-9397-08002B2CF9AE}" pid="22" name="FicheNumber">
    <vt:i4>2799</vt:i4>
  </property>
  <property fmtid="{D5CDD505-2E9C-101B-9397-08002B2CF9AE}" pid="23" name="DocumentYear">
    <vt:i4>2019</vt:i4>
  </property>
  <property fmtid="{D5CDD505-2E9C-101B-9397-08002B2CF9AE}" pid="24" name="DocumentPart">
    <vt:i4>0</vt:i4>
  </property>
  <property fmtid="{D5CDD505-2E9C-101B-9397-08002B2CF9AE}" pid="25" name="DocumentSource">
    <vt:lpwstr>1;#CoR|cb2d75ef-4a7d-4393-b797-49ed6298a5ea</vt:lpwstr>
  </property>
  <property fmtid="{D5CDD505-2E9C-101B-9397-08002B2CF9AE}" pid="26" name="DocumentType">
    <vt:lpwstr>62;#DECL|3e2492ed-4ef9-4eb0-bb74-05f60f74f0a3</vt:lpwstr>
  </property>
  <property fmtid="{D5CDD505-2E9C-101B-9397-08002B2CF9AE}" pid="27" name="RequestingService">
    <vt:lpwstr>Organes statutaires et réunions</vt:lpwstr>
  </property>
  <property fmtid="{D5CDD505-2E9C-101B-9397-08002B2CF9AE}" pid="28" name="MeetingName_0">
    <vt:lpwstr>BUR CDR|c746c8a5-35bb-487b-9ea7-3f1412c8eddb</vt:lpwstr>
  </property>
  <property fmtid="{D5CDD505-2E9C-101B-9397-08002B2CF9AE}" pid="29" name="DocumentLanguage">
    <vt:lpwstr>25;#DA|5d49c027-8956-412b-aa16-e85a0f96ad0e</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AvailableTranslations_0">
    <vt:lpwstr>BG|1a1b3951-7821-4e6a-85f5-5673fc08bd2c;CS|72f9705b-0217-4fd3-bea2-cbc7ed80e26e;DA|5d49c027-8956-412b-aa16-e85a0f96ad0e;DE|f6b31e5a-26fa-4935-b661-318e46daf27e;EL|6d4f4d51-af9b-4650-94b4-4276bee85c91;EN|f2175f21-25d7-44a3-96da-d6a61b075e1b;ES|e7a6b05b-ae1</vt:lpwstr>
  </property>
  <property fmtid="{D5CDD505-2E9C-101B-9397-08002B2CF9AE}" pid="33" name="_docset_NoMedatataSyncRequired">
    <vt:lpwstr>True</vt:lpwstr>
  </property>
</Properties>
</file>